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E-2610/2016 vom 9. Mai 2016</w:t>
      </w:r>
    </w:p>
    <w:p>
      <w:r>
        <w:t>Bundesverwaltungsgericht, 2016-05-09, DE</w:t>
      </w:r>
    </w:p>
    <w:p>
      <w:r>
        <w:rPr>
          <w:b/>
        </w:rPr>
        <w:t xml:space="preserve">Quelle: </w:t>
      </w:r>
      <w:r>
        <w:t>https://mcp.opencaselaw.ch/entscheid/bvger_E-2610_2016</w:t>
      </w:r>
    </w:p>
    <w:p>
      <w:r>
        <w:t>FR: TAF E-2610/2016 du 9 mai 2016</w:t>
      </w:r>
    </w:p>
    <w:p>
      <w:r>
        <w:t>IT: TAF E-2610/2016 del 9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 Aufgrund der Zuweisung der Beschwerdeführerin in die Testphase des Verfahrenszentrums in Zürich kommt zudem die TestV zur Anwendung (Art. 1 und Art. 4 Abs. 1 TestV i.V.m. Art. 112b Abs. 3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Art. 48 Abs. 1 und Art. 52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w:t>
      </w:r>
    </w:p>
    <w:p>
      <w:r>
        <w:rPr>
          <w:b/>
        </w:rPr>
        <w:t>E. 3.2</w:t>
      </w:r>
    </w:p>
    <w:p>
      <w:r>
        <w:t>Gestützt auf Art. 111a Abs. 1 AsylG wurde vorliegend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(Art. 22 Abs. 7 Dublin-III-VO), auf das Asylgesuch nicht ein.</w:t>
      </w:r>
    </w:p>
    <w:p>
      <w:r>
        <w:rPr>
          <w:b/>
        </w:rPr>
        <w:t>E. 4.2</w:t>
      </w:r>
    </w:p>
    <w:p>
      <w:r>
        <w:t>Gemäss Art. 3 Abs. 1 Dublin-III-VO wird jeder Asylantrag von einem einzigen Mitgliedstaat geprüft, der nach den Kriterien des Kapitels III (Art. 8 - 15 Dublin-III-VO) als zuständiger Staat bestimmt wird, wobei die einzelnen Bestimmungskriterien in der Reihenfolge ihrer Auflistung im Kapitel III Anwendung finden (Prinzip der Hierarchie der Zuständigkeitskriterien; vgl. Art. 7 Abs. 1 Dublin-III-VO). Der nach dieser Verordnung zuständige Mitgliedstaat ist verpflichtet, einen Antragsteller, der in einem anderen Mitgliedstaat einen Antrag gestellt hat, nach Massgabe der Art. 21, 22 und 29 Dublin-III-VO aufzunehmen (Art. 18 Abs. 1 Bst. a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Den vorliegenden Akten ist zu entnehmen, dass der Beschwerdeführerin von den portugiesischen Behörden am (...) 2015 ein Schengenvisum ausgestellt wurde. Die portugiesischen Behörden stimmten dem Gesuch des SEM um Aufnahme der Beschwerdeführerin am 4. April 2016 gestützt auf Art. 12 Abs. 2 und 3 Dublin-III-VO zu. Die grundsätzliche Zuständigkeit Portugals ist somit gegeben, was von der Beschwerdeführerin auch nicht bestritten wurde.</w:t>
      </w:r>
    </w:p>
    <w:p>
      <w:r>
        <w:rPr>
          <w:b/>
        </w:rPr>
        <w:t>E. 5.2</w:t>
      </w:r>
    </w:p>
    <w:p>
      <w:r>
        <w:t>Im Licht von Art. 3 Abs. 2 Dublin-III-VO ist nachfolgend zu prüfen, ob es wesentliche Gründe für die Annahme gibt, das Asylverfahren und die Aufnahmebedingungen für Asylsuchende in Portugal würden systemische Schwachstellen aufweisen, die eine Gefahr einer unmenschlichen oder entwürdigenden Behandlung im Sinn des Artikels 4 der EU-Grundrechtecharta mit sich bringen würden. Portugal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Hinweise dafür, dass sich das Land im konkreten vorliegenden Fall nicht an die daraus resultierenden Verpflichtungen halten würde. Ausserdem darf auch davon ausgegangen werden, dass Portugal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anerkennt und schützt. Es gibt insgesamt also keinen Grund anzunehmen, die portugiesischen Behörden würden sich weigern, die Beschwerdeführerin aufzunehmen und ihren Antrag auf internationalen Schutz unter Einhaltung der Regeln der Verfahrensrichtlinie zu prüfen. Auch sind den Akten keine Gründe für die Annahme zu entnehmen, Portugal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Soweit die Beschwerdeführerin allenfalls medizinischer Behandlung bedarf, kann mit dem SEM ohne weiteres davon ausgegangen werden, dass ihr diese in Portugal zugänglich ist. Entsprechend bestand für die Vorinstanz kein Anlass, bei den portugiesischen Behörden spezielle Garantien einzuholen. Die Beschwerdeführerin bringt im Wesentlichen vor, in ihrem speziellen Fall seien Gründe gegeben, von der Überstellung abzusehen. Insbesondere sei sie traumatisiert und liefe Gefahr, erneut Übergriffen seitens eines Menschenhändlerrings ausgesetzt zu sein, dem sie bereits einmal entkommen sei. Das SEM hält in der angefochtenen Verfügung diesbezüglich zu Recht fest, die Beschwerdeführerin könnte sich in Portugal an die zuständigen Behörden wenden, gegebenenfalls auch an Organisationen, welche sich den Opfern von Menschenhandel annehmen. Auch kann sie die geltend gemachte Straftat im Zusammenhang mit dem Menschenhandel, dessen Opfer sie geworden sei, bei der Ausführung ihrer Asylgründe in Portugal darlegen. Das SEM wird im Übrigen - wie in der Verfügung angekündigt - im Rahmen der Überstellung die portugiesischen Behörden über die Umstände vorgängig in geeigneter Weise informieren und auch dem gesundheitlichen Zustand der Beschwerdeführerin Rechnung tragen. Auch aufgrund des in der Schweiz anhängig gemachten Strafverfahrens drängt sich - entgegen der Behauptung auf Beschwerdeebene - keine Zuständigkeit der Schweiz auf, zumal es Sache der Strafbehörden ist, dafür zu sorgen, allfällige Untersuchungshandlungen mit zwingender Beteiligung der Beschwerdeführerin noch vor einer Überstellung durchzuführen. Zudem wäre es der Beschwerdeführerin unbenommen, im Strafverfahren zur Wahrung ihrer (Opfer-)Rechte eine Rechtsvertretung zu mandatieren. Abschliessend kann auf die ausführlichen Erwägungen in der angefochtenen Verfügung verwiesen werden, die sich als zutreffend erweisen. Es erübrigt sich, auf die weiteren Ausführungen in der Beschwerde einzugehen, weil sie an der zutreffenden Würdigung der Vorinstanz nichts zu ändern vermögen und die Rüge der ungenügenden Sachverhaltsermittlung erweist sich als unbegründet. Unter diesen Umständen ist die Anwendung von Art. 3 Abs. 2 Satz 2 Dublin-III-VO nicht gerechtfertigt.</w:t>
      </w:r>
    </w:p>
    <w:p>
      <w:r>
        <w:rPr>
          <w:b/>
        </w:rPr>
        <w:t>E. 5.3</w:t>
      </w:r>
    </w:p>
    <w:p>
      <w:r>
        <w:t>Was schliesslich die Ermessensklausel von Art. 17 Abs. 1 Dublin-III- VO betrifft, so ist diese nicht direkt, sondern nur in Verbindung mit einer nationalen Norm (namentlich Art. 29a Abs. 3 AsylV1, Selbsteintritt aus humanitären Gründen) oder internationalem Recht anwendbar (BVGE 2010/45 E. 5). In diesem Zusammenhang kommt dem Bundesverwaltungsgericht jedoch keine Beurteilungskompetenz hinsichtlich des Ermessensentscheides des SEM zu (vgl. BVGE 2015/9). Das Bundesverwaltungsgericht greift nur ein, wenn das Staatsekretariat das ihm eingeräumte Ermessen über- beziehungsweise unterschreitet oder missbraucht und damit Bundesrecht verletzt. Das ist vorliegend, wo das SEM die massgeblichen Parameter des Einzelfalles in seine Prüfung einbezogen hat, nicht der Fall.</w:t>
      </w:r>
    </w:p>
    <w:p>
      <w:r>
        <w:rPr>
          <w:b/>
        </w:rPr>
        <w:t>E. 6</w:t>
      </w:r>
    </w:p>
    <w:p>
      <w:r>
        <w:t>Das SEM ist demnach zu Recht in Anwendung von Art. 31a Abs. 1 Bst. b AsylG auf das Asylgesuch der Beschwerdeführerin nicht eingetreten und hat die Überstellung nach Portugal angeordnet. Es liegen nach dem Gesagten offensichtlich auch keine Gründe vor, welche eine Rückweisung an die Vorinstanz rechtfertigen würden.</w:t>
      </w:r>
    </w:p>
    <w:p>
      <w:r>
        <w:rPr>
          <w:b/>
        </w:rPr>
        <w:t>E. 7</w:t>
      </w:r>
    </w:p>
    <w:p>
      <w:r>
        <w:t>Die Beschwerde ist aus diesen Gründen abzuweisen und die Verfügung des SEM zu bestätigen.</w:t>
      </w:r>
    </w:p>
    <w:p>
      <w:r>
        <w:rPr>
          <w:b/>
        </w:rPr>
        <w:t>E. 8</w:t>
      </w:r>
    </w:p>
    <w:p>
      <w:r>
        <w:t>Das Beschwerdeverfahren ist mit vorliegenden Urteil abgeschlossen, weshalb der am 3. Mai 2016 angeordnete Vollzugsstopp dahinfällt und der Antrag auf Gewährung der aufschiebenden Wirkung gegenstandslos wird.</w:t>
      </w:r>
    </w:p>
    <w:p>
      <w:r>
        <w:rPr>
          <w:b/>
        </w:rPr>
        <w:t>E. 9.1</w:t>
      </w:r>
    </w:p>
    <w:p>
      <w:r>
        <w:t>Mit vorliegendem Entscheid wird sodann das Gesuch um Verzicht auf die Erhebung eines Kostenvorschusses hinfällig.</w:t>
      </w:r>
    </w:p>
    <w:p>
      <w:r>
        <w:rPr>
          <w:b/>
        </w:rPr>
        <w:t>E. 9.2</w:t>
      </w:r>
    </w:p>
    <w:p>
      <w:r>
        <w:t>Der mit der Beschwerde gestellte Antrag auf Gewährung der unentgeltlichen Prozessführung im Sinne von Art. 65 Abs. 1 VwVG ist unbesehen der bisher nicht nachgewiesenen prozessualen Bedürftigkeit abzuweisen, weil die Begehren - wie sich aus den vorstehenden Erwägungen ergibt - als aussichtlos zu bezeichnen sind, womit eine der kumulativ zu erfüllenden Voraussetzungen nicht gegeben ist. Die Verfahrenskosten von Fr. 600.- sind bei diesem Ausgang des Verfahrens damit der Beschwerdeführerin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