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E-2608/2018 vom 16. August 2018</w:t>
      </w:r>
    </w:p>
    <w:p>
      <w:r>
        <w:t>Bundesverwaltungsgericht, 2018-08-16, DE</w:t>
      </w:r>
    </w:p>
    <w:p>
      <w:r>
        <w:rPr>
          <w:b/>
        </w:rPr>
        <w:t xml:space="preserve">Quelle: </w:t>
      </w:r>
      <w:r>
        <w:t>https://mcp.opencaselaw.ch/entscheid/bvger_E-2608_2018</w:t>
      </w:r>
    </w:p>
    <w:p>
      <w:r>
        <w:t>FR: TAF E-2608/2018 du 16 août 2018</w:t>
      </w:r>
    </w:p>
    <w:p>
      <w:r>
        <w:t>IT: TAF E-2608/2018 del 16 agosto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Beschwerdeverfahrens bildet einzig die Frage des Vollzugs der Wegweisung. Die Ziffern 1 (Verneinung der Flüchtlingseigenschaft), 2 (Ablehnung des Asylgesuchs) und 3 (Wegweisung) der Verfügung vom 29. März 2018 sind demnach mangels Anfechtung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In der Rechtsmitteleingabe führt der Beschwerdeführer aus, der Wegweisungsvollzug sei angesichts der ihm in Eritrea drohenden Einziehung in den Nationaldienst unzulässig beziehungsweise unzumutbar. Er macht insbesondere geltend, der vom SEM angeordnete Vollzug verletze seine durch Art. 3 und 4 EMRK geschützten Menschenrechte.</w:t>
      </w:r>
    </w:p>
    <w:p>
      <w:r>
        <w:rPr>
          <w:b/>
        </w:rPr>
        <w:t>E. 6.2</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7.1</w:t>
      </w:r>
    </w:p>
    <w:p>
      <w:r>
        <w:t>Das Bundesverwaltungsgericht hat sich mit dem Koordinationsentscheid E-5022/2017 vom 10. Juli 2018 mit den Fragen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7.2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7.3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8.4</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8.5</w:t>
      </w:r>
    </w:p>
    <w:p>
      <w:r>
        <w:t>Der Vollzug der Wegweisung des Beschwerdeführers erweist sich damit - sowohl im Sinn der asyl- als auch der völkerrechtlichen Bestimmungen - als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Wie oben dargelegt, vermag die bevorstehende Einziehung in den eritreischen Nationaldienst allein nicht zur Annahme einer existenziellen Gefährdung zu führen.</w:t>
      </w:r>
    </w:p>
    <w:p>
      <w:r>
        <w:rPr>
          <w:b/>
        </w:rPr>
        <w:t>E. 9.3</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9.4</w:t>
      </w:r>
    </w:p>
    <w:p>
      <w:r>
        <w:t>Beim Beschwerdeführer handelt es sich um einen jungen Mann, der in Eritrea mit seinen Eltern und zahlreichen Geschwistern über ein tragfähiges Beziehungsnetz verfügt. Besondere individuelle Umstände, aufgrund derer bei einer Rückkehr nach Eritrea von einer existenziellen Bedrohung ausgegangen werden müsste, sind den Akten nicht zu entnehmen. Bezüglich der im vorinstanzlichen Verfahren geltend gemachten gesundheitlichen Probleme kann vollumfänglich auf die zutreffenden Ausführungen in der Verfügung verwiesen werden. In der Rechtsmitteleingabe macht der Beschwerdeführer sodann auch keine gesundheitlichen Probleme mehr geltend. Nach dem Gesagten erweist sich der Vollzug der Wegweisung auch als zumutbar.</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11</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Bei diesem Ausgang des Verfahrens wären die Kosten dem Beschwerdeführer aufzuerlegen (Art. 63 Abs. 1 VwVG). Der Antrag auf Gewährung der unentgeltlichen Prozessführung wurde jedoch mit Instruktionsverfügung vom 9. Mai 2018 gutgeheissen.</w:t>
      </w:r>
    </w:p>
    <w:p>
      <w:r>
        <w:rPr>
          <w:b/>
        </w:rPr>
        <w:t>E. 13.2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unentgeltliche Prozessführung ist deshalb nicht zu widerrufen, zumal den Akten auch keine Hinweise auf eine massgebende Veränderung der finanziellen Verhältnisse zu entnehmen sind. Es sind daher keine Verfahrenskosten zu erheben.</w:t>
      </w:r>
    </w:p>
    <w:p>
      <w:r>
        <w:rPr>
          <w:b/>
        </w:rPr>
        <w:t>E. 13.3</w:t>
      </w:r>
    </w:p>
    <w:p>
      <w:r>
        <w:t>Mit Instruktionsverfügung vom 9. Mai 2018 wurde dem Beschwerdeführer die unentgeltliche Rechtsverbeiständung gewährt und MLaw Anja Freienstein als amtliche Vertreterin eingesetzt. Die Rechtsvertreterin reichte eine Honorarnote ein und macht einen Aufwand von 3,5 Stunden zu einem Stundenansatz von Fr. 180.- und Auslagen in der Höhe von Fr. 50.- geltend. Der zeitliche Aufwand erscheint angemessen, wobei von einem Stundenansatz von Fr. 150.- auszugehen ist (vgl. Instruktionsverfügung vom 9. Mai 2018). Zu kürzen ist die Honorarnote um die geltend gemachte einmalige Pauschale von Fr. 50.- für Auslagen, da vom Gericht nur effektiv ausgewiesene Kosten entschädigt werden. Das vom Bundesverwaltungsgericht zu entrichtende Honorar ist demzufolge auf Fr. 565.45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