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E-2605/2019 vom 28. Juni 2019</w:t>
      </w:r>
    </w:p>
    <w:p>
      <w:r>
        <w:t>Bundesverwaltungsgericht, 2019-06-28, DE</w:t>
      </w:r>
    </w:p>
    <w:p>
      <w:r>
        <w:rPr>
          <w:b/>
        </w:rPr>
        <w:t xml:space="preserve">Quelle: </w:t>
      </w:r>
      <w:r>
        <w:t>https://mcp.opencaselaw.ch/entscheid/bvger_E-2605_2019</w:t>
      </w:r>
    </w:p>
    <w:p>
      <w:r>
        <w:t>FR: TAF E-2605/2019 du 28 juin 2019</w:t>
      </w:r>
    </w:p>
    <w:p>
      <w:r>
        <w:t>IT: TAF E-2605/2019 del 28 giugno 2019</w:t>
      </w:r>
    </w:p>
    <w:p>
      <w:pPr>
        <w:pStyle w:val="Heading2"/>
      </w:pPr>
      <w:r>
        <w:t>Regeste</w:t>
      </w:r>
    </w:p>
    <w:p>
      <w:r>
        <w:t>Asyl (ohne Wegweisungsvollzug)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(aArt. 108 Abs. 1 AsylG und Art. 52 Abs. 1 VwVG).</w:t>
      </w:r>
    </w:p>
    <w:p>
      <w:r>
        <w:rPr>
          <w:b/>
        </w:rPr>
        <w:t>E. 3.1</w:t>
      </w:r>
    </w:p>
    <w:p>
      <w:r>
        <w:t>Das Bundesverwaltungsgericht überprüft die angefochtene Verfügung in Asylsachen auf Verletzung von Bundesrecht sowie unrichtige oder unvollständige Feststellung des rechtserheblichen Sachverhalts hin (Art. 106 Abs. 1 AsylG).</w:t>
      </w:r>
    </w:p>
    <w:p>
      <w:r>
        <w:rPr>
          <w:b/>
        </w:rPr>
        <w:t>E. 3.2</w:t>
      </w:r>
    </w:p>
    <w:p>
      <w:r>
        <w:t>Der Wegweisungsvollzug bildet nicht mehr Gegenstand der Beschwerde, nachdem die Vorinstanz die vorläufige Aufnahme angeordnet hat.</w:t>
      </w:r>
    </w:p>
    <w:p>
      <w:r>
        <w:rPr>
          <w:b/>
        </w:rPr>
        <w:t>E. 3.3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w:t>
      </w:r>
    </w:p>
    <w:p>
      <w:r>
        <w:t>Die Wahrnehmung des Akteneinsichts- und Beweisführungsrechts durch den von einer Verfügung Betroffenen setzt eine Aktenführungspflicht der Verwaltung voraus (vgl. Urteil des BGer 2C_327/2010 vom 19. Mai 2011 E. 3.2, m. w. H.). Vorliegend liegt zwar keine Rüge der unsorgfältigen Aktenführung vor, indessen fällt auf, dass das Aktenverzeichnis der Ehefrau mit Aktennummer beziehungsweise Aktorum C hätte geführt werden müssen und nicht - wie vorliegend - mit A beziehungsweise B. Deshalb ist das SEM daran zu erinnern, dass die Akten grundsätzlich von Beginn weg in chronologischer Reihenfolge abgelegt und durchgehend paginiert werden müssen sowie ein Aktenverzeichnis zu erstellen ist, das eine chronologische Auflistung sämtlicher in einem Verfahren gemachten Eingaben enthält (vgl. Urteil des BGer 8C_319 vom 15. Dezember 2010 E. 2.2).</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5.3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5.4</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(so bereits Entscheidungen und Mitteilungen der Schweizerischen Asylrekurskommission [EMARK] 1993/3 E. 3 S. 13).</w:t>
      </w:r>
    </w:p>
    <w:p>
      <w:r>
        <w:rPr>
          <w:b/>
        </w:rPr>
        <w:t>E. 6.1</w:t>
      </w:r>
    </w:p>
    <w:p>
      <w:r>
        <w:t>Die Schlussfolgerungen der Vorinstanz sind weder in tatsächlicher noch in rechtlicher Hinsicht zu beanstanden. Nach Prüfung der Akten durch das Gericht ist in Übereinstimmung mit der Vorinstanz festzustellen, dass die Vorfluchtgründe der Beschwerdeführerin den Anforderungen an das Glaubhaftmachen nicht standzuhalten vermögen, weshalb vorab auf die zutreffenden Erwägungen der Vorinstanz zu verweisen ist. Die Beschwerdeführerin stützt ihre Fluchtgeschichte auf die unglaubhafte Desertion ihres Ehemannes (Urteil des BVGer E-3677/2015 vom 13. Juli 2017 insb. E. 6.2.5 und 6.3, Bestätigung der Unglaubhaftigkeit der Desertion des Ehemannes). Mithin ist der Vorinstanz darin beizupflichten, dass die Vorbringen der Beschwerdeführerin bereits aus diesem Grund als unglaubhaft zu betrachten sind. Hinzu kommt, dass diese sowohl oberflächlich als auch stereotyp ausgefallen sind. Schliesslich gehen die Erklärungsversuche, weshalb die Beschwerdeführerin erst zwei Jahre nach der Ausreise ihres Ehemannes belangt worden sein soll, ins Leere. Die lange Zeitspanne zwischen der Ausreise des Ehemannes und derjenigen der Beschwerdeführerin untermauert vielmehr die zutreffenden Schlussfolgerungen der Vorinstanz. Was die Übersetzung anbelangt, hat die Beschwerdeführerin in beiden Befragungen mündlich und schriftlich bestätigt, die Dolmetscherin beziehungsweise den Dolmetscher gut verstanden zu haben (SEM-Akten, B10, S. 1 und B3, S. 2 und S. 12). Es trifft zwar zu, dass die beiden Worte «Verbesserung» und «Erwägung» fehlerhaft sein müssen (SEM-Akten, B3, S. 6 oben und S. 9 unten). Es handelt sich hierbei jedoch lediglich um zwei unbedeutende Flüchtigkeitsfehler, die nicht - wie auf Beschwerdeebene behauptet - auf mangelnde Fähigkeiten des Dolmetschers schliessen lassen. Den Befragungsprotokollen sind sodann auch keine weiteren Übersetzungsprobleme zu entnehmen. Letztere sind der anwesenden Hilfswerksvertretung ebenfalls keine aufgefallen, was sie sonst festgehalten hätte (Unterschriftenblatt der Hilfswerksvertretung, SEM-Akten, B10, S. 17). Die Beschwerdeausführungen sind nicht geeignet, zu einer von der Vorinstanz abweichenden Betrachtungsweise zu gelangen.</w:t>
      </w:r>
    </w:p>
    <w:p>
      <w:r>
        <w:rPr>
          <w:b/>
        </w:rPr>
        <w:t>E. 6.2</w:t>
      </w:r>
    </w:p>
    <w:p>
      <w:r>
        <w:t>Was die geltend gemachte illegale Ausreise der Beschwerdeführerin aus Eritrea anbelangt, galt eine solche nach der bisherigen Rechtsprechung des Bundesverwaltungsgerichts als subjektiver Nachfluchtgrund (vgl. statt vieler Urteil des BVGer D-3892/2008 vom 6. April 2010, E. 5.3.3). Diese Rechtsprechung wurde aufgegeben. Das Bundesverwaltungsgericht kam im Urteil D-7898/2015 vom 30. Januar 2017 (als Referenzurteil publiziert) nach einer eingehenden Lageanalyse zum Schluss, dass die bisherige Praxis, wonach eine illegale Ausreise per se zur Flüchtlingseigenschaft führte, nicht aufrechterhalten werden könne (ebd., insb. E. 5.1). Nach der neuen Rechtsprechung sei nicht mehr mit überwiegender Wahrscheinlichkeit davon auszugehen, dass einer Person einzig aufgrund ihrer illegalen Ausreise aus Eritrea eine flüchtlingsrechtlich relevante Verfolgung drohe. Nicht asylrelevant sei ferner die Möglichkeit, dass jemand nach der Rückkehr in den Nationaldienst eingezogen werde. Nach dem neuen Urteil bedarf es nun für die Begründung der Flüchtlingseigenschaft im eritreischen Kontext neben der illegalen Ausreise zusätzlicher Anknüpfungspunkte, welche zu einer Verschärfung des Profils und dadurch zu einer flüchtlingsrechtlich relevanten Verfolgungsgefahr führen (ebd., E. 5.2). Diese zusätzlichen Anknüpfungspunkte sind nachzuweisen oder zumindest glaubhaft zu machen (Art. 7 Abs. 1 AsylG).</w:t>
      </w:r>
    </w:p>
    <w:p>
      <w:r>
        <w:rPr>
          <w:b/>
        </w:rPr>
        <w:t>E. 6.3</w:t>
      </w:r>
    </w:p>
    <w:p>
      <w:r>
        <w:t>In Anbetracht der geänderten Rechtsprechung kann die Frage nach der Glaubhaftigkeit der von der Beschwerdeführerin geltend gemachten illegalen Ausreise offenbleiben. Aus den Akten ergeben sich keine Gründe, die die Beschwerdeführerin in den Augen des eritreischen Regimes als missliebige Person erscheinen liessen. Insbesondere sind ihre geltend gemachten Fluchtgründe - wie vorliegend dargelegt - als unglaubhaft zu betrachten. Insofern weist sie neben der illegalen Ausreise keine zusätzlichen Anknüpfungspunkte für eine Verschärfung ihres Profils auf, weshalb sich keine flüchtlingsrechtlich beachtliche Verfolgung annehmen lässt.</w:t>
      </w:r>
    </w:p>
    <w:p>
      <w:r>
        <w:rPr>
          <w:b/>
        </w:rPr>
        <w:t>E. 6.4</w:t>
      </w:r>
    </w:p>
    <w:p>
      <w:r>
        <w:t>Die Vorinstanz hat folglich zu Recht das Vorliegen sowohl von Vorflucht- als auch von Nachfluchtgründen verneint und das Asylgesuch abgelehnt.</w:t>
      </w:r>
    </w:p>
    <w:p>
      <w:r>
        <w:rPr>
          <w:b/>
        </w:rPr>
        <w:t>E. 7</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8</w:t>
      </w:r>
    </w:p>
    <w:p>
      <w:r>
        <w:t>Aus diesen Erwägungen ergibt sich, dass die angefochtene Verfügung Bundesrecht nicht verletzt und auch sonst nicht zu beanstanden ist (Art. 106 AsylG und Art. 49 VwVG). Die Beschwerde ist abzuweisen.</w:t>
      </w:r>
    </w:p>
    <w:p>
      <w:r>
        <w:rPr>
          <w:b/>
        </w:rPr>
        <w:t>E. 9.1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9.2</w:t>
      </w:r>
    </w:p>
    <w:p>
      <w:r>
        <w:t>Bei diesem Ausgang des Verfahrens sind die Kosten von Fr. 750.- (Art. 1-3 des Reglements vom 21. Februar 2008 über die Kosten und Entschädigungen vor dem Bundesverwaltungsgericht [VGKE], SR 173.320.2) der Beschwerdeführerin aufzuerlegen. Mit vorliegendem Urteil ist der Antrag auf Verzicht auf Erhebung eines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