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E-2603/2020 vom 17. April 2020</w:t>
      </w:r>
    </w:p>
    <w:p>
      <w:r>
        <w:t>Bundesverwaltungsgericht, 2020-04-17, DE</w:t>
      </w:r>
    </w:p>
    <w:p>
      <w:r>
        <w:rPr>
          <w:b/>
        </w:rPr>
        <w:t xml:space="preserve">Quelle: </w:t>
      </w:r>
      <w:r>
        <w:t>https://mcp.opencaselaw.ch/entscheid/bvger_E-2603_2020_d20200417</w:t>
      </w:r>
    </w:p>
    <w:p>
      <w:r>
        <w:t>FR: TAF E-2603/2020 du 17 avril 2020</w:t>
      </w:r>
    </w:p>
    <w:p>
      <w:r>
        <w:t>IT: TAF E-2603/2020 del 17 aprile 2020</w:t>
      </w:r>
    </w:p>
    <w:p>
      <w:pPr>
        <w:pStyle w:val="Heading2"/>
      </w:pPr>
      <w:r>
        <w:t>Regeste</w:t>
      </w:r>
    </w:p>
    <w:p>
      <w:r>
        <w:t>Asyl und Wegweisung | Asyl und Wegweisung; Verfügung des SEM vom 17. April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2 AsylG; Art. 48 Abs. 1 sowie Art. 52 Abs. 1 VwVG). Auf die Beschwerde ist einzutreten.</w:t>
      </w:r>
    </w:p>
    <w:p>
      <w:r>
        <w:rPr>
          <w:b/>
        </w:rPr>
        <w:t>E. 2.1</w:t>
      </w:r>
    </w:p>
    <w:p>
      <w:r>
        <w:t>Die angefochtene Verfügung wurde in italienischer Sprache begründet, das Verfügungsdispositiv wurde zweisprachig, in italienischer und deut- scher Sprache, verfasst. Begründet wurde dies in Ziffer I der Verfügung mit personellen Engpässen beim SEM aufgrund der vielen hängigen Asylge- suche, welche vor dem 1. März 2019 eingereicht wurden.</w:t>
      </w:r>
    </w:p>
    <w:p>
      <w:r>
        <w:t>E-2603/2020 Seite 5</w:t>
      </w:r>
    </w:p>
    <w:p>
      <w:r>
        <w:rPr>
          <w:b/>
        </w:rPr>
        <w:t>E. 2.2</w:t>
      </w:r>
    </w:p>
    <w:p>
      <w:r>
        <w:t>Gemäss Art. 16 Abs. 2 AsylG werden Verfügungen des SEM grund- sätzlich in der Sprache eröffnet, die am Wohnort der Asylsuchenden Amts- sprache ist. Die Beschwerdeführerin wurde dem Kanton F._______ zuge- wiesen, dessen Amtssprache Deutsch ist (vgl. […]). Demnach wäre der Asylentscheid grundsätzlich in deutscher Sprache zu eröffnen gewesen.</w:t>
      </w:r>
    </w:p>
    <w:p>
      <w:r>
        <w:rPr>
          <w:b/>
        </w:rPr>
        <w:t>E. 2.3</w:t>
      </w:r>
    </w:p>
    <w:p>
      <w:r>
        <w:t>Von dem in Art. 16 Abs. 2 AsylG statuierten Grundsatz kann das SEM gestützt auf Art. 16 Abs. 3 AsylG abweichen, wenn die asylsuchende Per- son oder deren Rechtsvertretung einer anderen Amtssprache mächtig ist (Bst. a), dies unter Berücksichtigung der Gesuchseingänge oder der Per- sonalsituation vorübergehend für eine effiziente und fristgerechte Ge- suchserledigung erforderlich ist (Bst. b) oder die asylsuchende Person von einem Zentrum des Bundes einem Kanton mit einer anderen Amtssprache zugewiesen wird (Bst. c). Diese Ausnahmen werden indessen gemäss Rechtsprechung begrenzt durch das Recht auf eine wirksame Beschwerde und einen fairen Prozess (Art. 29 Abs. 1 BV und Art. 13 EMRK). Wenn davon ausgegangen werden muss, dass die Partei den in einer anderen Amtssprache verfassten Entscheid nicht ausreichend verstanden hat, ist die angefochtene Verfügung grundsätzlich zu kassieren, sofern die be- schwerdeführende Person über keine professionelle Rechtsvertretung ver- fügt (vgl. dazu beispielsweise das Urteil des BVGer D-1651/2020 vom 1. Juni 2022 E. 4.2 oder D-1361/2020 vom 3. November 2020 E. 6.3, mit Hin- weis auf Entscheide und Mitteilungen der Schweizerischen Asylrekurskom- mission [EMARK] 2004 Nr. 29).</w:t>
      </w:r>
    </w:p>
    <w:p>
      <w:r>
        <w:rPr>
          <w:b/>
        </w:rPr>
        <w:t>E. 2.4</w:t>
      </w:r>
    </w:p>
    <w:p>
      <w:r>
        <w:t>Die Vorinstanz beruft sich auf die Ausnahme im Sinne von aArt. 16 Abs.</w:t>
      </w:r>
    </w:p>
    <w:p>
      <w:r>
        <w:rPr>
          <w:b/>
        </w:rPr>
        <w:t>E. 3</w:t>
      </w:r>
    </w:p>
    <w:p>
      <w:r>
        <w:t>Die Kognition des Bundesverwaltungsgerichts und die zulässigen Rügen</w:t>
      </w:r>
    </w:p>
    <w:p>
      <w:r>
        <w:t>E-2603/2020 Seite 6 richten sich im Asylbereich nach Art. 106 Abs. 1 AsylG, im Bereich des Aus- länderrechts nach Art. 49 VwVG (vgl. BVGE 2014/26 E. 5).</w:t>
      </w:r>
    </w:p>
    <w:p>
      <w:r>
        <w:rPr>
          <w:b/>
        </w:rPr>
        <w:t>E. 4</w:t>
      </w:r>
    </w:p>
    <w:p>
      <w:r>
        <w:t>Das vorliegende Verfahren wird mit dem Verfahren E-2602/2020 (E._______, N […]) zeitlich koordiniert und es werden die entsprechenden Akten beigezogen.</w:t>
      </w:r>
    </w:p>
    <w:p>
      <w:r>
        <w:rPr>
          <w:b/>
        </w:rPr>
        <w:t>E. 5.1</w:t>
      </w:r>
    </w:p>
    <w:p>
      <w:r>
        <w:t>Die Beschwerdeführerin macht formelle Rügen geltend, welche vorab zu prüfen sind, da deren Gutheissung geeignet wäre, eine Kassation der vorinstanzlichen Verfügung zu bewirken (vgl. BGE 142 II 218 E. 2.8.1).</w:t>
      </w:r>
    </w:p>
    <w:p>
      <w:r>
        <w:rPr>
          <w:b/>
        </w:rPr>
        <w:t>E. 5.2</w:t>
      </w:r>
    </w:p>
    <w:p>
      <w:r>
        <w:t>Diesbezüglich führt sie im Wesentlichen aus, es sei aus der angefoch- tenen Verfügung nicht ersichtlich, ob die Verfolgung vom SEM als insge- samt nicht glaubhaft oder nicht asylrelevant qualifiziert worden sei. Das SEM vermittle mit der angefochtenen Verfügung den Eindruck, man er- achte die Verfolgung als nicht glaubhaft, ohne auf die Asylrelevanz einzu- gehen. Ferner gehe aus der angefochtenen Verfügung nicht hervor, ob ihr die Vergewaltigung geglaubt werde. Zudem gehe das SEM auf das Asyl- verfahren des Vaters nicht näher ein und stelle ihre Vorbringen nicht in die- sen Zusammenhang.</w:t>
      </w:r>
    </w:p>
    <w:p>
      <w:r>
        <w:rPr>
          <w:b/>
        </w:rPr>
        <w:t>E. 5.3</w:t>
      </w:r>
    </w:p>
    <w:p>
      <w:r>
        <w:t>Das Gericht stellt fest, dass sich die Vorinstanz in Ziffer III der ange- fochtenen Verfügung mit der materiellen Prüfung der Vorbringen der Be- schwerdeführerin auseinandersetzt. Hinsichtlich der geltend gemachten Vorfluchtgründe stellt sie fest, dass die Beschwerdeführerin diese nicht glaubhaft zu machen vermochte. So führte die Vorinstanz in Ziffer 1 aus, die drei ersten geltend gemachten Besuche durch die CID-Agenten habe die Beschwerdeführerin nicht glaubhaft zu machen vermocht, da sie die Ereignisse zu unsubstantiiert geschildert und auch auf Nachfrage nicht de- tailreicher vorgebracht habe. Zur geltend gemachten Vergewaltigung führte die Vorinstanz aus, aus den Ausführungen der Beschwerdeführerin gehe nicht hervor, dass sie ihrer Mutter von dieser erzählt habe. Zudem habe sie auch auf Nachfrage hin lediglich undetaillierte Antworten gegeben. Zwar ist der Beschwerdeführerin zuzustimmen, dass hinsichtlich der geltend ge- machten Vergewaltigung die Vorinstanz nicht ausdrücklich erwähnt hat, dass sie diese als unglaubhaft qualifizierte. Aus der Systematik der ange- fochtenen Verfügung geht aber klar hervor, dass sich die Ziffern 1 bis 3 von Seite 8 auf die Vorfluchtgründe beziehen und diese durch die Vorinstanz allesamt als unglaubhaft qualifiziert wurden. Die Asylrelevanz hingegen</w:t>
      </w:r>
    </w:p>
    <w:p>
      <w:r>
        <w:t>E-2603/2020 Seite 7 wird lediglich hinsichtlich der Nachfluchtgründe (ab Ziffer 1 auf Seite 8) ge- prüft. Im Übrigen ist festzuhalten, dass die Vorinstanz nach dem Gesagten nicht gehalten war, die Vorfluchtgründe auf die Asylrelevanz hin zu prüfen. Die Vorinstanz hat die angefochtene Verfügung rechtsgenüglich begrün- det. Inwieweit der Untersuchungsgrundsatz verletzt sein soll, wird nicht darge- legt und ist auch aus den Akten nicht ersichtlich.</w:t>
      </w:r>
    </w:p>
    <w:p>
      <w:r>
        <w:rPr>
          <w:b/>
        </w:rPr>
        <w:t>E. 5.4</w:t>
      </w:r>
    </w:p>
    <w:p>
      <w:r>
        <w:t>Eine Rückweisung der Sache an die Vorinstanz rechtfertigt sich nach dem Gesagten nicht, das entsprechende Begehren ist abzuweisen.</w:t>
      </w:r>
    </w:p>
    <w:p>
      <w:r>
        <w:rPr>
          <w:b/>
        </w:rPr>
        <w:t>E. 6</w:t>
      </w:r>
    </w:p>
    <w:p>
      <w:r>
        <w:t>Juni 2019 E. 5.2).</w:t>
      </w:r>
    </w:p>
    <w:p>
      <w:r>
        <w:t>E-2603/2020 Seite 8</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Eine Reflexverfolgung liegt vor, wenn sich Verfolgungsmassnahmen abgesehen von der primär betroffenen Person auch auf Familienangehö- rige und Verwandte erstrecken. Diese kann im Sinne von Art. 3 AsylG flüchtlingsrechtlich relevant sein, allerdings hängen die Wahrscheinlichkeit einer Reflexverfolgung und deren Intensität stark von den konkreten Um- ständen des Einzelfalls ab. Die Annahme einer Reflexverfolgung erfordert eine sorgfältige Prüfung im Einzelfall. Es muss aufgrund der Umstände des Einzelfalls ermittelt werden, ob die Furcht vor Verfolgung begründet ist. Die erlittene Verfolgung beziehungsweise die begründete Furcht vor zukünfti- ger (Reflex-)Verfolgung muss ferner sachlich und zeitlich kausal für die Ausreise aus dem Heimat- oder Herkunftsstaat und grundsätzlich auch im Zeitpunkt des Asylentscheides noch aktuell sein. Dieser Nachweis muss durch die entsprechende Partei erbracht werden (vgl. Urteile des BVGer E-4250/2021 vom 25. Februar 2022 E. 4.2; E-4779/2018 vom 16. Novem- ber 2020 E. 4.2; E-1943/2020 vom 28. Mai 2020 E. 6.3; E-6470/2017 vom</w:t>
      </w:r>
    </w:p>
    <w:p>
      <w:r>
        <w:rPr>
          <w:b/>
        </w:rPr>
        <w:t>E. 6.3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Die Vorinstanz führte zur Begründung ihrer Verfügung aus, dass es der Beschwerdeführerin nicht gelungen sei, ihre geltend gemachten Vorflucht- gründe glaubhaft zu machen. So habe sie die vier Besuche von CID-Agen- ten und den sexuelle Missbrauch beim vierten Besuch undetailliert und vage vorgebracht. Auch habe sie nicht plausibel erklären können, weshalb ihre Mutter ihre Schwester und nicht sie selber aus Sicherheitsgründen ins Internat geschickt habe. Ferner sei nicht glaubhaft, dass sich die Be- schwerdeführerin die Namen derjenigen Personen nicht gemerkt habe, welche sie bei ihren Aufenthalten in G._______ und Colombo beherbergt hätten. Im Widerspruch dazu habe sie sich hinsichtlich des dritten Besu- ches der CID-Agenten geäussert. Diesbezüglich seien ihre Vorbringen zum Ort ihres Versteckens, zum Zeitpunkt der Mitteilung ihrer Mutter betreffend Ausreise sowie Beziehung zu ihren Verwandten unterschiedlich ausgefal- len. Unlogisch seien die Vorbringen, die Beschwerdeführerin sei anlässlich des zweiten Besuches der CID-Agenten zu diesen hingegangen, da sie gedacht habe, diese würden ihr keine Probleme bereiten, obwohl sie zu diesem Zeitpunkt geglaubt habe, dass diese Leute ihre Mutter einmal ge- schlagen hätten. Auch bei einer Rückkehr nach Sri Lanka würden der Beschwerdeführerin keine ernsthaften Nachteile aufgrund ihrer Zugehörigkeit zur tamilischen Ethnie drohen. So würden im konkreten Fall weder eine kurze Befragung am Flughafen noch die Präsidentschaftswahlen vom 16. November 2019 zu einer Bejahung von Nachfluchtgründen führen.</w:t>
      </w:r>
    </w:p>
    <w:p>
      <w:r>
        <w:rPr>
          <w:b/>
        </w:rPr>
        <w:t>E. 7.2</w:t>
      </w:r>
    </w:p>
    <w:p>
      <w:r>
        <w:t>Die Beschwerdeführerin erwidert, vorliegend handle es sich um eine Reflexverfolgung. Zudem sei der Zusammenhang zwischen der Suche nach ihrem Vater durch die Behörden und den Übergriffen auf sie nachvoll- ziehbar und im länderspezifischen Kontext wahrscheinlich. Die Argumentation der Vorinstanz in Bezug auf die sexuellen Übergriffe er- achte sie als nicht überzeugend, unangebracht und deplatziert. Sie habe</w:t>
      </w:r>
    </w:p>
    <w:p>
      <w:r>
        <w:t>E-2603/2020 Seite 9 beim Erzählen oft Tränen in den Augen gehabt und habe an denjenigen Stellen geweint, welche die Übergriffe durch die CID-Angehörige themati- siert hätten. Dass ihr Vater und ihre Mutter von CID-Angehörigen verfolgt worden seien, ergebe sich aus den Akten ihres Vaters.</w:t>
      </w:r>
    </w:p>
    <w:p>
      <w:r>
        <w:rPr>
          <w:b/>
        </w:rPr>
        <w:t>E. 8.1</w:t>
      </w:r>
    </w:p>
    <w:p>
      <w:r>
        <w:t>Zunächst ist darauf hinzuweisen, dass das Bundesverwaltungsgericht bei der Beurteilung der Asylgründe nicht an die Begründung der Vorinstanz gebunden ist (Art. 62 Abs. 4 VwVG); es kann die Beschwerde auch aus anderen Überlegungen als jenen der Vorinstanz abweisen (sog. Motivsub- stitution; vgl. MADELEINE CAMPRUBI in: Auer/Müller/Schindler [Hrsg.], Kom- mentar zum Bundesgesetz über das Verwaltungsverfahren, 2. Aufl. 2019, N. 16 zu Art. 62 VwVG; KÖLZ/HÄNER/BERTSCHI, Verwaltungsverfahren und Verwaltungsrechtspflege des Bundes, 3. Aufl. 2013, S. 398, Rz. 1136).</w:t>
      </w:r>
    </w:p>
    <w:p>
      <w:r>
        <w:rPr>
          <w:b/>
        </w:rPr>
        <w:t>E. 8.2</w:t>
      </w:r>
    </w:p>
    <w:p>
      <w:r>
        <w:t>Die Beschwerdeführerin macht in ihrer Beschwerde geltend, sie werde in Sri Lanka aufgrund der Tätigkeiten ihres Vaters für die Liberation Tigers of Tamil Eelam (LTTE) und die Tamils Rehabilitation Organisation (TRO) verfolgt. Die von ihrem Vater vorgebrachten Vorfluchtgründe wurden vom Gericht jedoch als nicht glaubhaft qualifiziert, die Beschwerde mit heutigem Urteil des BVGer E-2602/2020 abgewiesen. Eine Reflexverfolgung ist so- mit zu verneinen. Nachfolgend ist zu prüfen, ob der behaupteten Vergewaltigung ein flücht- lingsrechtlich relevantes Motiv gemäss Art. 3 Abs. 1 AsylG (wegen ihrer Rasse, Religion, Nationalität, Zugehörigkeit zu einer bestimmten sozialen Gruppe oder wegen ihrer politischen Anschauung) zugrunde liegt. Zwar beruft sich die Beschwerdeführerin darauf, mit der erlittenen Vergewalti- gung bestehe ein frauenspezifischer Fluchtgrund im Sinne von Art. 3 Abs. 2 AsylG. Sie verkennt jedoch, dass auch einem solch schwerwiegen- den Nachteil wie dem Erleiden einer Vergewaltigung nur bei Vorliegen ei- ner flüchtlingsrechtlich relevanten (Gesamt-)Motivation flüchtlingsrechtli- che Relevanz zukommen kann (vgl. EMARK 2006 Nr. 32, insbesondere E. 8.7.3; Urteil des BVGer E-1819/2018 vom 28. Mai 2018 E. 7.2). Selbst bei Wahrunterstellung der behaupteten Vergewaltigung der Beschwerde- führerin ist aber ein flüchtlingsrechtlich relevantes Verfolgungsmotiv nicht zu erkennen, nachdem die Beschwerdeführerin den sexuellen Übergriff mit einer politischen Verfolgung ihres Vaters in Zusammenhang bringt, welche indes – wie oben festgestellt – verneint wurde. Auch aus den Akten lassen</w:t>
      </w:r>
    </w:p>
    <w:p>
      <w:r>
        <w:t>E-2603/2020 Seite 10 sich keine Hinweise entnehmen, dass die Vergewaltigung auf einem flücht- lingsrechtlich relevanten Motiv beruht hätte, zumal die Beschwerdeführerin selbst auch keinen oppositionspolitischen Hintergrund geltend macht. Aus welchen Gründen die Vergewaltigung stattgefunden hat, kann in casu of- fengelassen werden. Ferner setzt die Anerkennung der Flüchtlingseigenschaft aufgrund der Subsidiarität des flüchtlingsrechtlichen Schutzes voraus, dass die be- troffene Person in ihrem Heimatstaat keinen adäquaten Schutz finden kann, weil dort keine Infrastruktur besteht, welche ihr Schutz bieten könnte (vgl. EMARK 2006 Nr. 18 E. 11.2 S. 204 f.), oder weil der Staat ihr keinen Schutz gewährt, obwohl er dazu in der Lage wäre (vgl. BVGE 2011/51 E. 7.1 und 7.4 S. 1017 f. m. w. H.). Die Beschwerdeführerin macht anläss- lich ihrer Anhörung geltend, die Vergewaltigung – welche durch drei CID- Angehörige erfolgt sei (vgl. SEM-Akten «Anhörungsprotokoll» F117 ff.) – sei von den Behörden selber verübt worden. Da diese zusammenarbeiten würden, würde sie auch keinen Schutz von der Polizei erwarten können (vgl. SEM-Akten «Anhörungsprotokoll» F149). Dem ist entgegenzuhalten, dass gemäss Erkenntnissen des Gerichts der sri-lankische Staat grund- sätzlich sowohl schutzfähig als auch schutzwillig ist (vgl. etwa Urteile des BVGer D-4714/2019 vom 28. März 2022 E. 11.4; E-1631/2020 vom 30. Ap- ril 2020 E. 6.1; E-3166/2019 vom 17. Juli 2019 E. 6.2). Die Beschwerde- führerin gab aber zu Protokoll, die Behörden nicht um Schutz ersucht zu haben (vgl. SEM-Akten «Anhörungsprotokoll» F149). Somit hatten die sri- lankischen Behörden in Unkenntnis des Vorfalls von vornherein gar keine Möglichkeit, der Beschwerdeführerin Hilfe und Schutz zu bieten. Somit ge- lingt ihr nicht, darzulegen, dass der sri-lankische Staat in ihrem Fall nicht schutzfähig und schutzwillig wäre.</w:t>
      </w:r>
    </w:p>
    <w:p>
      <w:r>
        <w:rPr>
          <w:b/>
        </w:rPr>
        <w:t>E. 9.1</w:t>
      </w:r>
    </w:p>
    <w:p>
      <w:r>
        <w:t>Zu prüfen bleibt, ob der Beschwerdeführerin bei einer Rückkehr nach Sri Lanka ernsthafte Nachteile drohen würden.</w:t>
      </w:r>
    </w:p>
    <w:p>
      <w:r>
        <w:rPr>
          <w:b/>
        </w:rPr>
        <w:t>E. 9.2</w:t>
      </w:r>
    </w:p>
    <w:p>
      <w:r>
        <w:t>Das Bundesverwaltungsgericht hat im Referenzurteil E-1866/2015 vom 15. Juli 2016 festgestellt, dass Angehörige der tamilischen Ethnie bei einer Rückkehr nach Sri Lanka nicht generell einer ernstzunehmenden Gefahr von Verhaftung und Folter ausgesetzt sind (vgl. a.a.O. E. 8.3). Zur Beurtei- lung des Risikos von Rückkehrenden, Opfer ernsthafter Nachteile in Form von Verhaftung und Folter zu werden, wurden verschiedene Risikofaktoren identifiziert. Eine tatsächliche oder vermeintliche, aktuelle oder vergangene Verbindung zu den LTTE, ein Eintrag in der „Stop List“ und die Teilnahme</w:t>
      </w:r>
    </w:p>
    <w:p>
      <w:r>
        <w:t>E-2603/2020 Seite 11 an exilpolitischen regimekritischen Handlungen wurden als stark risikobe- gründende Faktoren eingestuft, da sie unter den im Entscheid dargelegten Umständen bereits für sich alleine genommen zur Bejahung einer begrün- deten Furcht führen könnten. Demgegenüber stellen das Fehlen ordentli- cher Identitätsdokumente bei der Einreise in Sri Lanka, Narben und eine gewisse Aufenthaltsdauer in einem westlichen Land schwach risikobegrün- dende Faktoren dar. Von den Rückkehrenden, die diese weitreichenden Risikofaktoren erfüllten, habe jedoch nur jene kleine Gruppe tatsächlich mit beachtlicher Wahrscheinlichkeit ernsthafte Nachteile im Sinne von Art. 3 AsylG zu befürchten, die nach Ansicht der srilankischen Behörden bestrebt sei, den tamilischen Separatismus wiederaufleben zu lassen und so den srilankischen Einheitsstaat gefährde. Mit Blick auf die dargelegten Risiko- faktoren seien in erster Linie jene Rückkehrer gefährdet, deren Namen in der am Flughafen in Colombo abrufbaren "Stop-List" vermerkt seien und der Eintrag den Hinweis auf eine Verhaftung beziehungsweise einen Straf- registereintrag im Zusammenhang mit einer tatsächlichen oder vermuteten Verbindung zu den LTTE enthalte. Entsprechendes gelte für srilankische Staatsangehörige, die sich im Ausland regimekritisch betätigt hätten (vgl. a.a.O. E. 8). Im Zusammenhang mit der aktuellen politischen Lage in Sri Lanka ist festzuhalten, dass sich das Bundesverwaltungsgericht der jüngeren Veränderungen – insbesondere im Zusammenhang mit dem Machtwechsel nach den Präsidentschaftswahlen im November 2019 – be- wusst ist. Es beobachtet die Entwicklungen aufmerksam und berücksichtigt sie bei der Entscheidfindung. Zum heutigen Zeitpunkt gibt es keinen Grund zur Annahme, dass seit dem Machtwechsel in Sri Lanka ganze Bevölke- rungsgruppen kollektiv einer Verfolgungsgefahr ausgesetzt wären. Unter diesen Umständen ist im Einzelfall zu prüfen, ob ein persönlicher Bezug der asylsuchenden Personen zur Präsidentschaftswahl vom 16. November 2019 respektive deren Folgen besteht (vgl. [statt vieler]: Urteil des BVGer D-4668/2021 vom 9. November 2021 E. 8.5 sowie Referenzurteil des Bun- desverwaltungsgerichts E-1866/2015 vom 15. Juli 2016; Human Rights Watch [HRW], Sri Lanka: Families of "Disappeard" Threatened, 16.02.2020). Die Wahl am 20. Juli 2022 von Ranil Wickremesinghe zum Nachfolger des abgetretenen Gotabaya Rajapaksa als neuen Staatspräsi- denten ändert vorerst nichts an der bisherigen Lageeinschätzung, ist die- ser doch Teil der alten politischen Elite.</w:t>
      </w:r>
    </w:p>
    <w:p>
      <w:r>
        <w:rPr>
          <w:b/>
        </w:rPr>
        <w:t>E. 9.3</w:t>
      </w:r>
    </w:p>
    <w:p>
      <w:r>
        <w:t>Die einzige Verbindung der Beschwerdeführerin zu Personen mit einer LTTE-Vergangenheit ist diejenige zu ihrem Vater. Dieser hat aber lediglich Transporte von Personen und Nahrungsmitteln getätigt; gemäss seinen Ausführungen bekleidete er keine Kaderfunktion und war auch nicht in</w:t>
      </w:r>
    </w:p>
    <w:p>
      <w:r>
        <w:t>E-2603/2020 Seite 12 Kampfhandlungen involviert (vgl. heutiges Urteil des BVGer E-2602/2022 E. 8.3). Die Beschwerdeführerin hat sich weder in Sri Lanka noch im Aus- land politisch betätigt. Als schwach risikobegründende Faktoren sind das (angebliche) Fehlen von Reisepapieren und der mehrjährige Aufenthalt in der Schweiz zu berücksichtigen.</w:t>
      </w:r>
    </w:p>
    <w:p>
      <w:r>
        <w:rPr>
          <w:b/>
        </w:rPr>
        <w:t>E. 9.4</w:t>
      </w:r>
    </w:p>
    <w:p>
      <w:r>
        <w:t>In Würdigung sämtlicher Umstände ist somit anzunehmen, dass die Beschwerdeführerin von der sri-lankischen Regierung nicht zu jener klei- nen Gruppe gezählt wird, die bestrebt ist, den tamilischen Separatismus wieder aufleben zu lassen, und so eine Gefahr für den sri-lankischen Ein- heitsstaat darstellt. Es ist – auch unter Berücksichtigung der neusten Ent- wicklungen in Sri Lanka – nicht davon auszugehen, dass ihr persönlich im Falle einer Rückkehr ernsthafte Nachteile im Sinne von Art. 3 AsylG drohen würden.</w:t>
      </w:r>
    </w:p>
    <w:p>
      <w:r>
        <w:rPr>
          <w:b/>
        </w:rPr>
        <w:t>E. 10</w:t>
      </w:r>
    </w:p>
    <w:p>
      <w:r>
        <w:t>Zusammenfassend ist es der Beschwerdeführerin nicht gelungen, die Flüchtlingseigenschaft nachzuweisen oder glaubhaft zu machen. Die Vor- instanz hat ihr Asylgesuch zu Recht abgelehnt.</w:t>
      </w:r>
    </w:p>
    <w:p>
      <w:r>
        <w:rPr>
          <w:b/>
        </w:rPr>
        <w:t>E. 11.1</w:t>
      </w:r>
    </w:p>
    <w:p>
      <w:r>
        <w:t>Lehnt das SEM das Asylgesuch ab oder tritt es darauf nicht ein, so verfügt es in der Regel die Wegweisung aus der Schweiz und ordnet den Vollzug an; es berücksichtigt dabei den Grundsatz der Einheit der Familie (Art. 44 AsylG).</w:t>
      </w:r>
    </w:p>
    <w:p>
      <w:r>
        <w:rPr>
          <w:b/>
        </w:rPr>
        <w:t>E. 11.2</w:t>
      </w:r>
    </w:p>
    <w:p>
      <w:r>
        <w:t>Die Beschwerdeführerin verfügt insbesondere weder über eine aus- länderrechtliche Aufenthaltsbewilligung noch über einen Anspruch auf Er- teilung einer solchen. Die Wegweisung wurde demnach ebenfalls zu Recht angeordnet (vgl. BVGE 2013/37 E. 4.4; 2009/50 E. 9, je m.w.H.).</w:t>
      </w:r>
    </w:p>
    <w:p>
      <w:r>
        <w:rPr>
          <w:b/>
        </w:rPr>
        <w:t>E. 12.1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E-2603/2020 Seite 13</w:t>
      </w:r>
    </w:p>
    <w:p>
      <w:r>
        <w:rPr>
          <w:b/>
        </w:rPr>
        <w:t>E. 12.2.1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w:t>
      </w:r>
    </w:p>
    <w:p>
      <w:r>
        <w:rPr>
          <w:b/>
        </w:rPr>
        <w:t>E. 12.2.2</w:t>
      </w:r>
    </w:p>
    <w:p>
      <w:r>
        <w:t>Gemäss Art. 25 Abs. 3 BV, Art. 3 des Übereinkommens vom 10. De- zember 1984 gegen Folter und andere grausame, unmenschliche oder er- niedrigende Behandlung oder Strafe (nachfolgend: Folter Üb., SR 0.105) und der Praxis zu Art. 3 EMRK darf niemand der Folter oder unmenschli- cher oder erniedrigender Strafe oder Behandlung unterworfen werden.</w:t>
      </w:r>
    </w:p>
    <w:p>
      <w:r>
        <w:rPr>
          <w:b/>
        </w:rPr>
        <w:t>E. 12.2.3</w:t>
      </w:r>
    </w:p>
    <w:p>
      <w:r>
        <w:t>Die Vorinstanz wies in ihrer angefochtenen Verfügung zutreffend da- rauf hin, dass das Prinzip des flüchtlingsrechtlichen Non-Refoulement nur Personen schützt, die die Flüchtlingseigenschaft erfüllen. Da es der Beschwerdeführerin nicht gelungen ist, eine asylrechtlich erhebliche Ge- fährdung nachzuweisen oder glaubhaft zu machen, kann der in Art. 5 AsylG verankerte Grundsatz der Nichtrückschiebung im vorliegenden Ver- fahren keine Anwendung finden. Eine Rückkehr der Beschwerdeführerin in den Heimatstaat ist demnach unter dem Aspekt von Art. 5 AsylG rechtmäs- sig.</w:t>
      </w:r>
    </w:p>
    <w:p>
      <w:r>
        <w:rPr>
          <w:b/>
        </w:rPr>
        <w:t>E. 12.2.4</w:t>
      </w:r>
    </w:p>
    <w:p>
      <w:r>
        <w:t>Sodann ergeben sich weder aus den Aussagen der Beschwerdeführerin noch aus den Akten Anhaltspunkte dafür, dass sie für den Fall einer Ausschaffung in den Heimatstaat dort mit beachtlicher Wahr- scheinlichkeit einer nach Art. 3 EMRK oder Art. 1 Folter Üb. verbotenen Strafe oder Behandlung ausgesetzt wäre. Gemäss Praxis des Europäi- schen Gerichtshofes für Menschenrechte (EGMR) sowie jener des UN- Anti-Folterausschusses müsste die Beschwerdeführerin eine konkrete Ge- fahr ("real risk") nachweisen oder glaubhaft machen, dass ihr im Fall einer Rückschiebung Folter oder unmenschliche Behandlung drohen würde (vgl. Urteil des EGMR Saadi gegen Italien 28. Februar 2008, Grosse Kam- mer 37201/06, §§ 124–127 m.w.H.). Zudem ergeben sich auch keine kon- kreten Hinweise darauf, dass sie bei einer Rückkehr nach Sri Lanka mit</w:t>
      </w:r>
    </w:p>
    <w:p>
      <w:r>
        <w:t>E-2603/2020 Seite 14 beachtlicher Wahrscheinlichkeit Massnahmen zu befürchten hätte, die über einen sogenannten "Background Check" (Befragung und Überprü- fung von Tätigkeiten im In- und Ausland) hinausgehen würden, oder dass sie persönlich gefährdet wäre.</w:t>
      </w:r>
    </w:p>
    <w:p>
      <w:r>
        <w:rPr>
          <w:b/>
        </w:rPr>
        <w:t>E. 12.2.5</w:t>
      </w:r>
    </w:p>
    <w:p>
      <w:r>
        <w:t>Die allgemeine Menschenrechtssituation in Sri Lanka lässt den Wegweisungsvollzug nach Auffassung des Gerichts nicht unzulässig er- scheinen (vgl. Urteil des BVGer E-1866/2015 vom 15. Juli 2016 E. 12.2). Auch der EGMR hat sich mit der Gefährdungssituation im Hinblick auf eine EMRK-widrige Behandlung namentlich für Tamilen, die aus einem europä- ischen Land nach Sri Lanka zurückkehren müssen, wiederholt befasst (vgl. EGMR, R.J. gegen Frankreich, Urteil vom 19. September 2013, Be- schwerde Nr. 10466/11; E.G. gegen Grossbritannien, a.a.O.; T.N. gegen Dänemark, Urteil vom 20. Januar 2011, Beschwerde Nr. 20594/08; P.K. ge- gen Dänemark, Urteil vom 20. Januar 2011, Beschwerde Nr. 54705/08; Rechtsprechung zuletzt bestätigt in J.G. gegen Polen, Entscheidung vom 11. Juli 2017, Beschwerde Nr. 44114/14). Dabei unterstreicht der Gerichts- hof, dass nicht in genereller Weise davon auszugehen sei, zurückkehren- den Tamilen drohe eine unmenschliche Behandlung. Daran vermögen auch die neuesten Entwicklungen in Sri Lanka nichts zu ändern (vgl. E. 9.2)</w:t>
      </w:r>
    </w:p>
    <w:p>
      <w:r>
        <w:rPr>
          <w:b/>
        </w:rPr>
        <w:t>E. 12.2.6</w:t>
      </w:r>
    </w:p>
    <w:p>
      <w:r>
        <w:t>Nach dem Gesagten ist der Vollzug der Wegweisung sowohl im Sinn der flüchtlings- als auch der völkerrechtlichen Bestimmungen zuläs- sig.</w:t>
      </w:r>
    </w:p>
    <w:p>
      <w:r>
        <w:rPr>
          <w:b/>
        </w:rPr>
        <w:t>E. 12.3.1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12.3.2</w:t>
      </w:r>
    </w:p>
    <w:p>
      <w:r>
        <w:t>Der bewaffnete Konflikt zwischen der sri-lankischen Regierung und den LTTE ist im Mai 2009 zu Ende gegangen und es herrscht weder Krieg noch eine Situation allgemeiner Gewalt (vgl. BVGE 2011/24 E. 13.2.1). Ge- mäss Rechtsprechung ist der Wegweisungsvollzug in die Nord- und Ost- provinz zumutbar, wenn das Vorliegen der individuellen Zumutbarkeitskri- terien bejaht werden kann (vgl. Referenzurteile des BVGer E-1866/2015 vom 15. Juli 2016 E. 13.2; D-3619/2016 vom 16. Oktober 2017 E. 9.5). Daran vermag auch die zur Zeit in weiten Teilen Sri Lankas herrschende</w:t>
      </w:r>
    </w:p>
    <w:p>
      <w:r>
        <w:t>E-2603/2020 Seite 15 angespannte Lage beziehungsweise die heftigen Proteste gegen stei- gende Preise für Verbrauchsgüter und gegen Engpässe vorab bei der Ver- sorgung mit Treibstoffen sowie die eingetretene Zahlungsunfähigkeit Sri Lankas grundsätzlich nichts zu ändern, zumal die aktuelle Wirtschaftskrise – wie auch der am 2. April 2022 von Präsident Gotabaya Rajapaksa aus- gerufene und nach fünf Tagen wieder aufgehobene Notstand sowie die zwi- schenzeitlich erneute Akzentuierung – die ganze sri-lankische Bevölkerung betrifft. Die Wahl am 20. Juli 2022 von Ranil Wickremesinghe zum Nach- folger des abgetretenen Gotabaya Rajapaksa als neuen Staatspräsidenten ändert vorerst nichts an der bisherigen Lageeinschätzung, ist dieser doch Teil der alten politischen Elite. Die Beschwerdeführerin stammt aus B._______, Distrikt Mullaitivu, Nord- provinz (vgl. SEM-Akten C11 Ziffer 1.07). Bis zu ihrem (…). Lebensjahr lebte sie in C._______, Kilinochchi, Nordprovinz (vgl. SEM-Akten C11 Ziffer 2.01). Von 201(…) bis zum (…) 2018 besuchte sie das H._______ in Jaffna, Nordprovinz, wo sie die O-Level-Prüfungen erfolgreich absolvierte, womit sie auf eine solide schulische Grundausbildung zurückgreifen kann und worauf sie beruflich aufbauen kann. Die Beschwerde gegen den ab- lehnenden Asylentscheid ihres Vaters ist mit heutigem Urteil des BVGer E-2602/2020 abgewiesen und damit der Vollzug der Wegweisung ange- ordnet worden. Des Weiteren hat sie drei Geschwister, welche in Sri Lanka wohnen. Zudem hält sich ihre Mutter in I._______, Distrikt Mullaitivu, Nord- provinz auf. Es ist daher insgesamt auch von einem tragfähigen familiären Netzwerk auszugehen, welches der Beschwerdeführerin bei einer Rück- kehr zur Verfügung stehen wird. In gesundheitlicher Hinsicht führte sie anlässlich der BzP aus, ausser einer Erkältung gehe es ihr gut (vgl. SEM-Akten C11 Ziffer 8.02). An der Anhö- rung Antwortete sie auf die Frage, wie es ich gesundheitlich gehe, mit «Okay. Gut.» (vgl. SEM-Akten «Anhörungsprotokoll» F6). Auf Beschwer- deebene wurde ein ärztlicher Bericht vom (…) vom J._______ eingereicht, in welchem die Diagnosen (…). Weitere Arztberichte wurden keine einge- reicht. Diesbezüglich ist auf das funktionierende Gesundheitssystem be- ziehungsweise auf die in Sri Lanka vorhandenen 23 Krankenhäuser mit psychiatrischen Abteilungen für die stationäre Behandlung und auf die mehr als 300 Ambulanzen für die ambulante Behandlung von Patienten mit psychischen Erkrankungen hinzuweisen (vgl. Urteile des BVGer E-7137/2018 vom 23. Januar 2019 E. 12.3; D-3210/2018 vom 5. Juli 2019 E. 8.3). Zu Recht erkannte die Vorinstanz zufolge ihrer gesundheitlichen Probleme keine Vollzugshindernisse. Zudem wurde seit dem Jahr 2020</w:t>
      </w:r>
    </w:p>
    <w:p>
      <w:r>
        <w:t>E-2603/2020 Seite 16 keine massgebliche Veränderung ihrer gesundheitlichen Probleme geltend gemacht. Der Vollzug erweist sich aufgrund dieser Ausführungen und in Berücksichtigung der obengenannten Referenzurteile auch in individueller Hinsicht als zumutbar. Die diesbezüglichen Vorbringen der Beschwerde- führerin vermögen daran nichts ändern.</w:t>
      </w:r>
    </w:p>
    <w:p>
      <w:r>
        <w:rPr>
          <w:b/>
        </w:rPr>
        <w:t>E. 12.4</w:t>
      </w:r>
    </w:p>
    <w:p>
      <w:r>
        <w:t>Es obliegt der Beschwerdeführerin, sich bei der zuständigen Vertre- tung des Heimatstaates die für eine Rückkehr notwendigen Reisedoku- mente zu beschaffen (Art. 8 Abs. 4 AsylG; vgl. BVGE 2008/34 E. 12), wes- halb der Vollzug der Wegweisung auch als möglich zu bezeichnen ist (Art. 83 Abs. 2 AIG). Allfällig im Zusammenhang mit dem Coronavirus ver- fügte Einreiseverbote und ähnliche Massnahmen durch die sri-lankischen Behörden stehen dem Wegweisungsvollzug – angesichts ihres vorüberge- henden Charakters – nicht entgegen (vgl. Urteile des BVGer D-968/2020 vom 31. März 2020; E-1575/2020 vom 19. Mai 2020 E. 9.4.3).</w:t>
      </w:r>
    </w:p>
    <w:p>
      <w:r>
        <w:rPr>
          <w:b/>
        </w:rPr>
        <w:t>E. 12.5</w:t>
      </w:r>
    </w:p>
    <w:p>
      <w:r>
        <w:t>Zusammenfassend hat die Vorinstanz den Wegweisungsvollzug zu Recht als zulässig, zumutbar und möglich bezeichnet. Eine Anordnung der vorläufigen Aufnahme fällt somit ausser Betracht (Art. 83 Abs. 1–4 AIG).</w:t>
      </w:r>
    </w:p>
    <w:p>
      <w:r>
        <w:rPr>
          <w:b/>
        </w:rPr>
        <w:t>E. 13</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14.1</w:t>
      </w:r>
    </w:p>
    <w:p>
      <w:r>
        <w:t>Bei diesem Ausgang des Verfahrens wären die Kosten der Beschwer- deführerin aufzuerlegen (Art. 63 Abs. 1 VwVG; Art. 1–3 des Reglements vom 21. Februar 2008 über die Kosten und Entschädigungen vor dem Bun- desverwaltungsgericht [VGKE, SR 173.320.2]). Da ihr jedoch mit Instrukti- onsverfügung vom 23. Juni 2020 die unentgeltliche Prozessführung ge- mäss Art. 65 Abs. 1 VwVG gewährt wurde und keine massgeblichen Ver- änderungen der finanziellen Verhältnisse ersichtlich sind, sind keine Ver- fahrenskosten zu erheben.</w:t>
      </w:r>
    </w:p>
    <w:p>
      <w:r>
        <w:rPr>
          <w:b/>
        </w:rPr>
        <w:t>E. 14.2</w:t>
      </w:r>
    </w:p>
    <w:p>
      <w:r>
        <w:t>Mit Instruktionsverfügung vom 23. Juni 2020 wurde lic. iur. Kathrin Stutz als amtliche Rechtsbeiständin beigeordnet, weshalb dieser ein ent- sprechendes Honorar auszurichten ist. Am 16. Juni 2020 wurde eine Kos- tennote eingereicht. Hierin wurde ein Vertretungsaufwand von insgesamt Fr. 2'790.– geltend gemacht, ausgehend von einem zeitlichen Aufwand von</w:t>
      </w:r>
    </w:p>
    <w:p>
      <w:r>
        <w:t>E-2603/2020 Seite 17 11 Stunden zu einem Stundenansatz von Fr. 250.–. Der geltend gemachte zeitliche Aufwand für die Redaktion der Beschwerde erscheint indessen im Vergleich zu ähnlich gelagerten Fällen als überhöht und ist auf 6 Stunden zu kürzen. Der geltend gemachte Stundenansatz von Fr. 250.– für nicht- anwaltliche Vertreterinnen und Vertreter ist ebenfalls zu hoch ausgewiesen und wird praxisgemäss auf Fr. 150.– festgesetzt (vgl. Instruktionsverfü- gung vom 23. Juni 2020). Die Kosten für die ausgewiesenen Auslagen sind zu ersetzen. Da die amtliche Rechtsbeiständin mit «Einverständniserklä- rung» vom 17. Dezember 2021 das ihr zustehende Honorar der Zürcher Beratungsstelle für Asylsuchende zedierte, wird dieser zu Lasten der Ge- richtskasse ein amtliches Honorar von Fr. 940.– (inkl. Auslagen) ausgerich- tet. Lic. iur Kathrin Stutz teilte dem Gericht mit Schreiben vom 17. Dezember 2021 mit, sie beende ihre Arbeit als Juristin und Leiterin der Zürcher Bera- tungsstelle für Asylsuchende per 31. Dezember 2021 (vgl. Bst. I.). Da zu diesem Zeitpunkt das Beweisverfahren abgeschlossen war und Entscheid- reife vorlag, wurde ausnahmsweise auf die Entlassung von lic. iur. Kathrin Stutz und auf die Einsetzung einer neuen Rechtsvertretung als amtliche Rechtsbeistandschaft verzichtet.</w:t>
      </w:r>
    </w:p>
    <w:p>
      <w:r>
        <w:t>(Dispositiv nächste Seite)</w:t>
      </w:r>
    </w:p>
    <w:p>
      <w:r>
        <w:t>E-2603/2020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