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E-2603/2015 vom 27. August 2015</w:t>
      </w:r>
    </w:p>
    <w:p>
      <w:r>
        <w:t>Bundesverwaltungsgericht, 2015-08-27, DE</w:t>
      </w:r>
    </w:p>
    <w:p>
      <w:r>
        <w:rPr>
          <w:b/>
        </w:rPr>
        <w:t xml:space="preserve">Quelle: </w:t>
      </w:r>
      <w:r>
        <w:t>https://mcp.opencaselaw.ch/entscheid/bvger_E-2603_2015</w:t>
      </w:r>
    </w:p>
    <w:p>
      <w:r>
        <w:t>FR: TAF E-2603/2015 du 27 août 2015</w:t>
      </w:r>
    </w:p>
    <w:p>
      <w:r>
        <w:t>IT: TAF E-2603/2015 del 27 agosto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oder unvollständige Feststellung des rechtserheblichen Sachverhalts (Art. 106 Abs. 1 AsylG) sowie im Anwendungsbereich des AuG (SR 142.20) auf Unangemessenheit (Art. 49 VwVG) hin.</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Dabei kommt es auf die Gezieltheit, Intensität und Aktualität solcher Verfolgungsmassnahmen an.</w:t>
      </w:r>
    </w:p>
    <w:p>
      <w:r>
        <w:rPr>
          <w:b/>
        </w:rPr>
        <w:t>E. 4.2</w:t>
      </w:r>
    </w:p>
    <w:p>
      <w:r>
        <w:t>Wer die Flüchtlingseigenschaft geltend macht, muss sie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die Vorbringen für unglaubhaft. Zur Begründung ihres ablehnenden Entscheids führte sie aus, der Beschwerdeführer habe sich bei seinen Aussagen zu seiner geltend gemachten Furcht hinsichtlich wesentlicher Punkte in Widersprüche verstrickt. So habe er vorerst angegeben, Marokko im Jahre 2013 verlassen zu haben. Im weiteren Verlauf der Kurzbefragung habe er plötzlich vorgebracht, im November 2014 auf einem Schiff nach Spanien aus Marokko ausgereist zu sein. Kurz darauf habe er ausgeführt, Marokko im August 2014 verlassen zu haben. Widersprüchlich seien auch seine Angaben zum Abfahrtsort des Schiffes nach Spanien ausgefallen. Auf Vorhalt hin sei er ausserstande gewesen, diese Widersprüche, welche wesentlich seien, aufzulösen. Was die geltend gemachte Bedrohung seitens des Polizisten betreffe, habe er sich in zahlreiche weitere Widersprüche betreffend Namen, Wohnort und Absichten des Polizisten verstrickt. Weiter lasse die Schilderung der Bedrohung durch den Polizisten Differenziertheit, Detailreichtum und Realkennzeichen vermissen.</w:t>
      </w:r>
    </w:p>
    <w:p>
      <w:r>
        <w:rPr>
          <w:b/>
        </w:rPr>
        <w:t>E. 6</w:t>
      </w:r>
    </w:p>
    <w:p>
      <w:r>
        <w:t>Auf Beschwerdeebene setzt sich der Beschwerdeführer mit den Erwägungen der Vorinstanz nicht auseinander. Er macht lediglich sinngemäss, aber ohne Begründung geltend, dass seine Vorbringen noch aktuell seien. Für die monierten Widersprüche bietet er keine Erklärungen an. Angesichts dessen ist ohne weiteren Begründungsaufwand der Vorinstanz darin zuzustimmen, dass seine Vorbringen aufgrund von zahlreichen Widersprüchen in wesentlichen Punkten und wegen völliger Substanzlosigkeit unglaubhaft sind. Zu ergänzen bleibt, dass sie darüber hinaus auch nicht asylrelevant sind, zumal kein asylbeachtliches Verfolgungsmotiv ersichtlich und ein solches auch nicht geltend gemacht worden ist - vielmehr geht es offenbar um private wirtschaftliche Interessen des Polizisten - und dem Beschwerdeführer vorzuhalten ist, dass er gegen den angeblich fehlbaren Polizisten in Marokko keinen Schutz gesucht hat. Nach dem Gesagten hat die Vorinstanz die Flüchtlingseigenschaft zu Recht verneint und das Asylgesuch abgelehnt.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 8.1 Ist der Vollzug der Wegweisung nicht zulässig, nicht zumutbar oder nicht möglich, regelt das Bundesamt das Anwesenheitsverhältnis nach den gesetzlichen Bestimmungen über die vorläufige Aufnahme von Ausländern (Art. 44 AsylG; Art. 83 Abs. 1 AuG, [SR 142.20]). 8.2 Der Vollzug der Wegweisung ist nach Art. 83 Abs. 3 AuG unzulässig, wenn völkerrechtliche Verpflichtungen der Schweiz einer Weiterreise der Ausländerin oder des Ausländers in den Heimat-, Herkunfts- oder einen Drittstaat entgegenstehen. 8.3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auch keine konkreten Anhaltspunkte dafür vor, dass er für den Fall einer Ausschaffung in seinen Heimatstaat dort mit beachtlicher Wahrscheinlichkeit einer nach Art. 3 EMRK oder Art. 1 FoK verbotenen Strafe oder Behandlung ausgesetzt wäre. Der Vollzug der Wegweisung ist demnach sowohl im Sinne der landes- als auch der völkerrechtlichen Bestimmungen zulässig. 8.4 Der Vollzug der Wegweisung kann nach Art. 83 Abs. 4 AuG unzumutbar sein, wenn der Ausländer im Heimat- oder Herkunftsstaat auf Grund von Situationen wie Krieg, Bürgerkrieg, allgemeiner Gewalt und medizinischer Notlage konkret gefährdet ist. 8.5 Vorliegend sprechen weder individuelle Gründe noch die allgemeine Lage im Heimatstaat gegen die Zumutbarkeit des Wegweisungsvollzugs. 8.6 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 8.7 Zusammenfassend hat die Vorinstanz den Wegweisungsvollzug zu Recht als zulässig, zumutbar und möglich bezeichnet. Eine Anordnung der vorläufigen Aufnahme fällt somit ausser Betracht (Art. 83 Abs. 1-4 AuG).</w:t>
      </w:r>
    </w:p>
    <w:p>
      <w:r>
        <w:rPr>
          <w:b/>
        </w:rPr>
        <w:t>E. 9</w:t>
      </w:r>
    </w:p>
    <w:p>
      <w:r>
        <w:t>Aus diesen Erwägungen folgt, dass die angefochtene Verfügung Bundesrecht nicht verletzt und auch sonst nicht zu beanstanden ist (Art. 106 Abs. 1 AsylG). Die Beschwerde ist abzuweisen.</w:t>
      </w:r>
    </w:p>
    <w:p>
      <w:r>
        <w:rPr>
          <w:b/>
        </w:rPr>
        <w:t>E. 10</w:t>
      </w:r>
    </w:p>
    <w:p>
      <w:r>
        <w:t>Mit dem vorliegenden Entscheid sind die Gesuche um Verzicht auf die Erhebung eines Kostenvorschusses und um Gewährung der aufschiebenden Wirkung gegenstandslos geworden, wobei der Antrag auf Erteilung der aufschiebenden Wirkung angesichts der aufschiebenden Wirkung der Beschwerde von Gesetzes wegen von vornherein gegenstandslos gewesen ist. Gestützt auf Art. 97 Abs. 2 AsylG ist der Antrag, die zuständigen Behörden seien vorsorglich anzuweisen, keine Personendaten an das Heimat- oder Herkunftsland weiterzuleiten, abzuweisen. Den Akten der Vorinstanz sind keine Hinweise dafür zu entnehmen, dass sie mit den Behörden des Heimatstaates des Beschwerdeführers Kontakt aufgenommen hätte, so dass der Antrag auf Bekanntgabe einer bereits erfolgten Kontaktaufnahme gegenstandslos ist. Die gestellten Begehren erweisen sich als aussichtslos, weshalb das Gesuch um unentgeltliche Rechtspflege und Beiordnung eines amtlichen Rechtsbeistands, ungeachtet einer allenfalls bestehenden prozessualen Bedürftigkeit, abzuweisen ist (Art. 65 Abs. 1 VwVG und Art. 110a Abs. 1 Bst. a AsylG).</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