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E-2602/2015 vom 13. April 2016</w:t>
      </w:r>
    </w:p>
    <w:p>
      <w:r>
        <w:t>Bundesverwaltungsgericht, 2016-04-13, DE</w:t>
      </w:r>
    </w:p>
    <w:p>
      <w:r>
        <w:rPr>
          <w:b/>
        </w:rPr>
        <w:t xml:space="preserve">Quelle: </w:t>
      </w:r>
      <w:r>
        <w:t>https://mcp.opencaselaw.ch/entscheid/bvger_E-2602_2015</w:t>
      </w:r>
    </w:p>
    <w:p>
      <w:r>
        <w:t>FR: TAF E-2602/2015 du 13 avril 2016</w:t>
      </w:r>
    </w:p>
    <w:p>
      <w:r>
        <w:t>IT: TAF E-2602/2015 del 13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Gegenstand des vorliegenden Beschwerdeverfahrens bildet einzig der Asylpunkt (einschliesslich Fluchtgründe). Die Flüchtlingseigenschaft infolge subjektiver Nachfluchtgründe und der Wegweisungsvollzug sind nicht mehr zu prüfen, nachdem die Vorinstanz die Beschwerdeführerin als Flüchtling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Es ist zu prüfen, ob es der Beschwerdeführerin gelungen ist, eine asylrechtlich relevante Verfolgungssituation glaubhaft zu machen.</w:t>
      </w:r>
    </w:p>
    <w:p>
      <w:r>
        <w:rPr>
          <w:b/>
        </w:rPr>
        <w:t>E. 6.2</w:t>
      </w:r>
    </w:p>
    <w:p>
      <w:r>
        <w:t>Die Vorinstanz führte zur Begründung der angefochtenen Verfügung aus, die Vorbringen der Beschwerdeführerin zur Haft und zu den Einvernahmen und Vorladungen durch die Geheimpolizei seien aufgrund diverser eklatanter Widersprüche in zeitlichen und sachlichen Sachverhaltselementen nicht glaubhaft. So habe die Beschwerdeführerin beispielsweise anlässlich der BzP zu Protokoll gegeben, dass sie im Oktober 2012 - ein Jahr nach der Verhaftung ihres Mannes - zum Geheimdienst bestellt worden sei. Bei der Anhörung hingegen habe sie angegeben, einen Monat nach der Inhaftierung ihres Mannes im November 2012 vorgeladen worden zu sein. Abgesehen vom zeitlichen Widerspruch sei auch die Chronologie in Bezug auf die Suche nach ihrem Mann nicht identisch gewesen. So habe die Beschwerdeführerin anlässlich der BzP angeben, dass sie sich vor der ersten Vorladung über den Verbleib ihres Mannes erkundigt hätte. Bei der Anhörung hingegen habe sie ausgesagt, sie hätte ihren Mann erst nach der Freilassung respektive nach der ersten Vorladung gesucht. Im Übrigen habe die Beschwerdeführerin in der BzP mit keinem Wort erwähnt, dass sie einen Tag vor dem ersten Vorladungstermin von der Polizei aufgesucht und im Pyjama ins Auto gezerrt worden sei. Auch bezüglich der vorladenden Personen habe sich die Beschwerdeführerin in Widersprüchen verstrickt. Sie habe bei der BzP angegeben, bei der zweiten Vorladung von D._______ bestellt worden zu sein. Bei der Anhörung hingegen habe sie ausgesagt, dass D._______ lediglich ein Aufseher gewesen sei, der sie zusammengeschlagen habe und sonst nichts. Es sei der Leiter des Gefängnisses namens E._______ gewesen, der sie aufgeboten habe. Auch habe sie sich bezüglich des Verhaltes von E._______ widersprochen. Sie erwähnte, sie sei von E._______ mit Füssen getreten worden und er habe ihr eine Ohrfeige verpasst. Kurz darauf habe sie aber angegeben, von ihm nicht geschlagen worden zu sein. Schliesslich habe die Beschwerdeführerin auch unterschiedliche Angaben in Bezug auf ihre Anwesenheit bei den Übergaben der Vorladungen gemacht. Gemäss BzP sei sie bei der Überbringung der zweiten beziehungsweise dritten Vorladung abwesend gewesen. Gemäss der Anhörung habe sie die dritte Vorladung persönlich entgegengenommen. Weitere Widersprüche habe sie auch in Bezug auf das Verhalten ihrer Verwandten während ihrer Inhaftierung sowie über die Folgen ihrer Ausreise aus Eritrea gemacht. Keine dieser zahlreichen Widersprüche habe sie auf Vorhalt hin überzeugend aufzulösen vermocht.</w:t>
      </w:r>
    </w:p>
    <w:p>
      <w:r>
        <w:rPr>
          <w:b/>
        </w:rPr>
        <w:t>E. 6.3</w:t>
      </w:r>
    </w:p>
    <w:p>
      <w:r>
        <w:t>In der Beschwerde wird an der Glaubhaftigkeit der geltend gemachten Asylvorbringen festgehalten. Die Widersprüche seien einerseits offensichtliche Verwechslungen und anderseits nicht eklatant. Diese könnten durch die Nervosität der Beschwerdeführerin bei der ersten Befragung sowie durch den entsprechenden Zeitablauf von drei Jahren erklärt werden. Die Widersprüche seien an sich nicht geeignet die Asyleigenschaft auszuschliessen. Ferner habe der anwesende Hilfswerksvertreter [HWV] festgehalten, dass die Beschwerdeführerin substanziiert, plausibel und glaubhaft ihre Vorbringen geäussert habe (vgl. Beschwerde S. 3 - 4).</w:t>
      </w:r>
    </w:p>
    <w:p>
      <w:r>
        <w:rPr>
          <w:b/>
        </w:rPr>
        <w:t>E. 6.4</w:t>
      </w:r>
    </w:p>
    <w:p>
      <w:r>
        <w:t>Die vorstehend aufgeführten Kriterien der Glaubhaftmachung sind mit Blick auf die Asylvorbringen der Beschwerdeführerin nicht als erfüllt zu erachten. Daran vermögen auch die Ausführungen in der Beschwerdeeingabe nichts zu ändern. In der ersten Befragung gab die Beschwerdeführerin zu Protokoll, sie sei ein Jahr nach der Verhaftung ihres Ehemannes, im Oktober 2012, zum Sicherheitsdienst in C._______ bestellt und dort einen Monat inhaftiert worden (vgl. A3/13, S. 8). In der Anhörung zu den Asylgründen schilderte sie hingegen, sie sei am 10. Februar 2012, einen Monat nach der Verhaftung ihres Ehemannes, in Haft genommen worden (vgl. A12/18, S. 5). In der gleichen Anhörung gab sie dann wiederum eine andere Version zu Protokoll, nämlich, sie sei am 10. Februar 2012 vorgeladen, jedoch erst ein Jahr nach der Inhaftierung ihres Ehemannes im Oktober 2012 in Haft genommen worden (vgl. A12/18, S. 14). Diesen Widerspruch erklärt die Beschwerdeführerin in ihrer Eingabe damit, dass sie in der Befragung durch die Schweizerischen Behörden sehr nervös gewesen sei und dass es sich nicht um einen eklatanten Widerspruch handle. In der Beschwerde verweist sie weiter auf ihre Schilderungen anlässlich der Anhörung zu den Asylgründen vom 5. März 2015, stellt jedoch nicht klar, welche der dort geschilderten Versionen nun zutreffend sein soll (vgl. Beschwerde S. 3). Es handelt sich bei dem Widerspruch zu der Haft nicht um einzelne Tage, sondern um ganze Monate, die sich die Beschwerdeführerin vertan hat. Diese Ungereimtheit ist nicht nachvollziehbar. Weiter schilderte die Beschwerdeführerin in der Befragung, die zweite beziehungsweise dritte Vorladung sei am 18. Februar 2014 an ihre Schwiegermutter ausgehändigt worden (vgl. A3/13, S. 8). In der Anhörung gab die Beschwerdeführerin hingegen an, sie habe diese Vorladung persönlich angenommen (vgl. A12/18, S. 15). Auch diese Ungereimtheit sowie die weiteren Widersprüche lösen sich durch die Beschwerdeeingabe nicht auf. Sodann vermögen die Hinweise auf den Zeitablauf und die traumatische Erfahrung ebenfalls nicht zu überzeugen, da die Unstimmigkeiten in den Vorbringen der Beschwerdeführerin zu markant sind. Ferner ist die Beschwerdeführerin auf die ihr angeblich zugefügten Misshandlungen in der Beschwerdeschrift nicht mehr weiter eingegangen und bezeichnenderweise hat sie bis heute dem Bundesverwaltungsgericht kein ärztliches Zeugnis eingereicht. Dies obwohl sie mit Zwischenverfügung vom 5. Mai 2015 auf Art. 32 Abs. 2 VwVG hingewiesen worden ist.</w:t>
      </w:r>
    </w:p>
    <w:p>
      <w:r>
        <w:rPr>
          <w:b/>
        </w:rPr>
        <w:t>E. 6.5</w:t>
      </w:r>
    </w:p>
    <w:p>
      <w:r>
        <w:t>Zusammenfassend ist festzuhalten, dass es der Beschwerdeführerin nicht gelungen ist, eine im Zeitpunkt ihrer Ausreise aus Eritrea bestehende oder drohende, asylrechtlich relevante Gefährdung nachzuweisen oder glaubhaft zu machen. Die Vorinstanz hat das Asylgesuch der Beschwerdeführerin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nicht über eine fremdenpolizeiliche Aufenthaltsbewilligung. Die Wegweisungsverfügung erfolgte demnach zu Recht (vgl. BVGE 2013/37 E. 4.4; 2009/50 E. 9, je m.w.H.). Da die Beschwerdeführerin aufgrund des Vorliegens subjektiver Nachfluchtgründe gemäss Art. 54 AsylG vom SEM als Flüchtling anerkannt und infolgedessen wegen unzulässigen Wegweisungsvollzugs in der Schweiz vorläufig aufgenommen wurde, sind die beiden anderen Bedingungen für einen Verzicht auf den Vollzug der Wegweisung (Unzumutbarkeit und Unmöglichkeit) wegen ihrer alternativen Natur - ist eine Bedingung erfüllt, ist der Vollzug der Wegweisung undurchführbar - nicht mehr zu prüfen (vgl. BVGE 2009/51 E. 5.4 S. 748, mit weiterem Hinweisen).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