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E-2596/2016 vom 29. Dezember 2016</w:t>
      </w:r>
    </w:p>
    <w:p>
      <w:r>
        <w:t>Bundesverwaltungsgericht, 2016-12-29, DE</w:t>
      </w:r>
    </w:p>
    <w:p>
      <w:r>
        <w:rPr>
          <w:b/>
        </w:rPr>
        <w:t xml:space="preserve">Quelle: </w:t>
      </w:r>
      <w:r>
        <w:t>https://mcp.opencaselaw.ch/entscheid/bvger_E-2596_2016</w:t>
      </w:r>
    </w:p>
    <w:p>
      <w:r>
        <w:t>FR: TAF E-2596/2016 du 29 décembre 2016</w:t>
      </w:r>
    </w:p>
    <w:p>
      <w:r>
        <w:t>IT: TAF E-2596/2016 del 29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teilt die Einschätzung der Vorinstanz, wonach die Vorbringen des Beschwerdeführers zu seinen Vorfluchtgründen den Anforderungen an die Glaubhaftigkeit nicht zu genügen vermögen und die zu deren Stützung eingereichten Dokumente zu keiner anderen Beurteilung führen würden. Wie bereits in der Zwischenverfügung vom 18. Oktober 2016 nach einer summarischen Prüfung der Akten ausgeführt wurde, ist mit dem SEM festzustellen, dass die Aussagen des Beschwerdeführers zu seiner angeblichen Unterstützung der E._______ im Wahlkampf (...) über einen Zeitraum von (...) und zum in diesem Zusammenhang stehenden Zwischenfall mit Angehörigen der (...) den Anforderungen an die Glaubhaftigkeit nicht zu genügen vermögen. Insbesondere erweist sich die Erwägung in der angefochtenen Verfügung, der Beschwerdeführer sei nicht in der Lage gewesen, detaillierte und konkrete Angaben zum Programm und zum Aufbau der E._______, zur Mitgliederzahl der Partei und zu den Namen der Kandidaten, für die er angeblich während der Wahlzeit aktiv Werbung gemacht habe, zu machen, weshalb seine diesbezügliche Tätigkeit nicht geglaubt werden könne, als zutreffend. Des Weiteren ist auch die weitere Schlussfolgerung, vor diesem Hintergrund könne auch nicht geglaubt werden, dass der Beschwerdeführer beim geltend gemachten Zusammenstoss mit Aktivisten der (...) als (...) verwickelt gewesen sei, und seine Schilderungen zum Ablauf dieses Ereignisses seien auch auf widerholte Nachfragen stereotyp und substanzarm geblieben, weshalb sie nicht den Eindruck eines selbst erlebten Ereignisses vermitteln würden, nach einer Durchsicht der Anhörungsprotokolle nicht zu beanstanden. Auch die Feststellung des SEM zum angeblichen Zwischenfall am Heldentag im (...) mit ungefähr (...) Soldaten (...), seine diesbezüglichen Vorbringen seien widersprüchlich, unsubstanziiert und realitätsfremd, und weder das zur Untermauerung dieser Vorbringen eingereichte undatierte Dokument (...) noch die Bestätigung des Todes (...) im Jahr (...) seien geeignet, an dieser Beurteilung etwas zu ändern, erweist sich als zutreffend.</w:t>
      </w:r>
    </w:p>
    <w:p>
      <w:r>
        <w:rPr>
          <w:b/>
        </w:rPr>
        <w:t>E. 5.2</w:t>
      </w:r>
    </w:p>
    <w:p>
      <w:r>
        <w:t>Hinsichtlich der vom Beschwerdeführer in der ergänzenden Anhörung geltend gemachten exilpolitischen Tätigkeit (...) kann mangels substanziierter Entgegnungen in der Beschwerde zur Vermeidung von Wiederholungen vorab vollumfänglich auf die zutreffenden Erwägungen in der angefochtenen Verfügung, wonach seine diesbezügliche Aktivität mangels entsprechenden politischen Profils insgesamt betrachtet nicht geeignet sei, subjektive Nachfluchtgründe darzutun, verwiesen werden. Zwar hat das Bundesverwaltungsgericht in einem jüngst ergangenen Referenzurteil festgehalten, dass exilpolitische Aktivitäten asylrelevant sein könnten, insbesondere wenn der betroffenen Person seitens der sri-lankischen Behörden ein überzeugter Aktivismus mit dem Ziel der Wiederbelebung des tamilischen Separatismus zugeschrieben werde (vgl. Urteil des Bundesverwaltungsgerichts E-1866/2015 vom 15. Juli 2016 [als Referenzurteil publiziert] E. 8.5.4). Gemäss den Akten hat der Beschwerdeführer jedoch nur einmal an einer Kundgebung gegen die sri-lankische Regierung teilgenommen, und seine Rolle hat sich dabei auf diejenige eines einfachen Demonstrationsteilnehmers beschränkt. Eine solche exilpolitische Tätigkeit erreicht die Schwelle der begründeten Furcht vor Nachteilen im Sinne von Art. 3 AsylG nicht, zumal davon auszugehen ist, dass die sri-lankischen Behörden blosse "Mitläufer" von Massenveranstaltungen als solche identifizieren können und diese in Sri Lanka nicht als Gefahr wahrgenommen werden (vgl. a.a.O. E. 8.5.4).</w:t>
      </w:r>
    </w:p>
    <w:p>
      <w:r>
        <w:rPr>
          <w:b/>
        </w:rPr>
        <w:t>E. 5.3</w:t>
      </w:r>
    </w:p>
    <w:p>
      <w:r>
        <w:t>Des Weiteren erweisen sich die Ausführungen in der angefochtenen Verfügung, die Zugehörigkeit des Beschwerdeführers zur tamilischen Ethnie, seine Herkunft aus dem Norden Sri Lankas, sein Alter von (...) Jahren und eine Rückkehr mit temporären Reisedokumenten könnten zwar geeignet sein, die Aufmerksamkeit der sri-lankischen Behörden ihm gegenüber bei einer Wiedereinreise zu erhöhen, aber es sei dennoch nicht davon auszugehen, er habe Massnahmen zu befürchten, die über einen sogenannten "background check" hinausgehen würden, als zutreffend. Das Bundesverwaltungsgericht hat im erwähnten Referenzurteil (a.a.O. E. 8) eine aktuelle Analyse der Situation von Rückkehrenden nach Sri Lanka vorgenommen und festgestellt, dass aus Europa respektive der Schweiz zurückkehrende tamilische Asylsuchende nicht generell einer ernstzunehmenden Gefahr von Verhaftung und Folter ausgesetzt seien.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Liberation Tigers of Tamil Eelam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einer asylrelevanten Verfolgung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Aufgrund der Aktenlage ist nicht davon auszugehen, dass der Beschwerdeführer einer Risikogruppe angehört. Insbesondere ist nicht davon auszugehen, dass die sri-lankischen Behörden ihm ein Interesse am Wiederaufflammen des tamilischen Separatismus zuschreiben würden.</w:t>
      </w:r>
    </w:p>
    <w:p>
      <w:r>
        <w:rPr>
          <w:b/>
        </w:rPr>
        <w:t>E. 5.4</w:t>
      </w:r>
    </w:p>
    <w:p>
      <w:r>
        <w:t>Die Beschwerdevorbringen und die zu deren Stützung eingereichten Dokumente sind nicht geeignet, zu einer anderen Beurteilung zu gelangen. Insbesondere lässt der Hinweis des Beschwerdeführers auf seine umfassenden Schilderungen seiner Fluchtgründe jeweils in einem freien Bericht seine gesuchsbegründenden Aussagen nicht glaubhafter erscheinen und erweisen sich seine Entgegnungen als wenig stichhaltig. Seine Erklärung, er habe den Namen des Führers der Partei (...) nennen können, vermag nichts an der Feststellung der Vorinstanz zu ändern, er sei nicht in der Lage gewesen, die Kandidaten, die er angeblich unterstützt habe, zu benennen, und von einer Person, die die E._______ in der umschriebenen Weise unterstützt habe, hätten auch ohne formelle Mitgliedschaft zumindest rudimentäre Kenntnisse erwartet werden dürfen. Unbesehen davon ist festzustellen, dass es sich bei der E._______ um eine legale Partei handelt, die seit den von der EU als frei und fair bewerteten Parlamentswahlen vom August 2015 (...), weshalb Aktivitäten für diese Organisation in der Regel keine Asylrelevanz zukommt. Zudem würde es sich beim Angriff von Angehörigen der (...) auf den Beschwerdeführer sowie andere (...) und auf bei der Wahlveranstaltung ebenfalls anwesende Zivilisten, sollte er tatsächlich stattgefunden haben, um Übergriffe Dritter handeln, die nicht dem sri-lankischen Staat angelastet werden könnten. Die auf Beschwerdeebene zu den Akten gereichten Schreiben (...) sind nicht geeignet, die gesuchsbegründenden Aussagen zu belegen, zumal ersteres inhaltlich lediglich die (vom Verfasser offensichtlich nicht verifizierten) Asylvorbringen des Beschwerdeführers wiedergibt und letzteres bei einer anhaltenden behördlichen Suche nach ihm wohl kaum in dieser Form und zu diesem Zeitpunkt verfasst worden wäre. Vor diesem Hintergrund und in Berücksichtigung der Ausführungen im Urteil des Bundesverwaltungsgerichts E-1866/2015 vom 15. Juli 2016 (Referenzurteil) zur Situation der tamilischen Rückkehrer in Sri Lanka kann im Sinne einer antizipierten Beweiswürdigung auf das Einholen einer Übersetzung des zusammen mit der Beschwerde eingereichten fremdsprachigen Berichts von (...) verzichtet werden.</w:t>
      </w:r>
    </w:p>
    <w:p>
      <w:r>
        <w:rPr>
          <w:b/>
        </w:rPr>
        <w:t>E. 5.5</w:t>
      </w:r>
    </w:p>
    <w:p>
      <w:r>
        <w:t>Dem Beschwerdeführer ist es aufgrund des Gesagten nicht gelungen, die Flüchtlingseigenschaft gemäss Art. 3 AsylG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nun Urteil des BVGer E-1866/2015 vom 15. Juli 2016 [als Referenzurteil publiziert] E. 8). Dabei sei insbesondere darauf zu achten, dass einzelne Gefährdungselemente für sich genommen zwar möglicherweise keine ernsthafte Gefahr darstellten, diese Schwelle bei einer kumulativen Würdigung jedoch dennoch erreichen könnten. Nachdem der Beschwerdeführer aber nicht glaubhaft gemacht hat, dass er bei einer Rückkehr ins Heimatland befürchten müsste, die Aufmerksamkeit der sri-lankischen Behörden in einem flüchtlingsrechtlich relevanten Ausmass auf sich zu ziehen (vgl. E. 5),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Bundesverwaltungsgericht hat in seinem Referenzurteil E-1866/2015 vom 15. Juli 2016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dem Dorf D._______ im Distrikt (...). Es kann davon ausgegangen werden, dass er in sein Dorf zurückkehren kann, wo er mit (...) (vgl. Akten SEM A13/13 S. 4) über ein tragfähiges familiäres Beziehungsnetz verfügt, das ihm bei der Reintegration behilflich sein wird. Im Übrigen handelt es sich beim Beschwerdeführer um einen jungen und soweit aktenkundig gesunden Mann. Vor diesem Hintergrund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31. Oktober 2016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