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E-2594/2021 vom 13. September 2021</w:t>
      </w:r>
    </w:p>
    <w:p>
      <w:r>
        <w:t>Bundesverwaltungsgericht, 2021-09-13, FR</w:t>
      </w:r>
    </w:p>
    <w:p>
      <w:r>
        <w:rPr>
          <w:b/>
        </w:rPr>
        <w:t xml:space="preserve">Quelle: </w:t>
      </w:r>
      <w:r>
        <w:t>https://mcp.opencaselaw.ch/entscheid/bvger_E-2594_2021</w:t>
      </w:r>
    </w:p>
    <w:p>
      <w:r>
        <w:t>FR: TAF E-2594/2021 du 13 septembre 2021</w:t>
      </w:r>
    </w:p>
    <w:p>
      <w:r>
        <w:t>IT: TAF E-2594/2021 del 13 settembre 2021</w:t>
      </w:r>
    </w:p>
    <w:p>
      <w:pPr>
        <w:pStyle w:val="Heading2"/>
      </w:pPr>
      <w:r>
        <w:t>Regeste</w:t>
      </w:r>
    </w:p>
    <w:p>
      <w:r>
        <w:t>Asile et renvoi</w:t>
      </w:r>
    </w:p>
    <w:p>
      <w:pPr>
        <w:pStyle w:val="Heading2"/>
      </w:pPr>
      <w:r>
        <w:t>Erwägungen</w:t>
      </w:r>
    </w:p>
    <w:p>
      <w:r>
        <w:rPr>
          <w:b/>
        </w:rPr>
        <w:t>E. 5.1</w:t>
      </w:r>
    </w:p>
    <w:p>
      <w:r>
        <w:t>L'exécution du renvoi est ordonnée si elle est licite, raisonnablement exigible et possible. Si ces conditions ne sont pas réunies, l'admission provisoire doit être prononcée. Celle-ci est réglée par l'art. 84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(cf. supra, consid. 3),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6.5</w:t>
      </w:r>
    </w:p>
    <w:p>
      <w:r>
        <w:t>En l'occurrence, le recourant, pour les raisons déjà évoquées (cf. supra, consid. 3) n'a pas démontré à satisfaction de droit qu'il existerait pour lui un risque réel, fondé sur des motifs sérieux et avérés, d'être victime de torture ou encore d'un traitement inhumain ou dégradant au sens de l'art. 3 CEDH en cas d'exécution du renvoi dans son pays d'origine.</w:t>
      </w:r>
    </w:p>
    <w:p>
      <w:r>
        <w:rPr>
          <w:b/>
        </w:rPr>
        <w:t>E. 6.6</w:t>
      </w:r>
    </w:p>
    <w:p>
      <w:r>
        <w:t>Il ne peut, non plus, valablement se prévaloir en l'état de l'art. 8 CEDH (cf. consid. 4.2 ci-dessus).</w:t>
      </w:r>
    </w:p>
    <w:p>
      <w:r>
        <w:rPr>
          <w:b/>
        </w:rPr>
        <w:t>E. 6.7</w:t>
      </w:r>
    </w:p>
    <w:p>
      <w:r>
        <w:t>Dès lors, l'exécution du renvoi du recourant ne transgresse aucun engagement de la Suisse relevant du droit international, de sorte qu'elle s'avère licite (art. 44 LAsi et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 8.3 et jurisp. cit.).</w:t>
      </w:r>
    </w:p>
    <w:p>
      <w:r>
        <w:rPr>
          <w:b/>
        </w:rPr>
        <w:t>E. 7.2</w:t>
      </w:r>
    </w:p>
    <w:p>
      <w:r>
        <w:t>Malgré un regain de tensions politiques et interethniques depuis les élections de 2018, le Cameroun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7.3</w:t>
      </w:r>
    </w:p>
    <w:p>
      <w:r>
        <w:t>En outre, il ne ressort du dossier aucun élément dont on pourrait inférer que l'exécution du renvoi impliquerait une mise en danger concrète de l'intéressé.</w:t>
      </w:r>
    </w:p>
    <w:p>
      <w:r>
        <w:rPr>
          <w:b/>
        </w:rPr>
        <w:t>E. 7.4.1</w:t>
      </w:r>
    </w:p>
    <w:p>
      <w:r>
        <w:t>S'agissant de l'état de santé du recourant, il est rappelé que l'exécution du renvoi ne cesse d'être raisonnablement exigible que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2009/2 consid. 9.3.2 ; JICRA 2003 n° 24 consid. 5b).</w:t>
      </w:r>
    </w:p>
    <w:p>
      <w:r>
        <w:rPr>
          <w:b/>
        </w:rPr>
        <w:t>E. 7.4.2</w:t>
      </w:r>
    </w:p>
    <w:p>
      <w:r>
        <w:t>En l'espèce, force est d'abord de constater qu'en invoquant des problèmes de santé sans fournir les rapports médicaux qui lui ont été demandés à plusieurs reprises par le SEM, le recourant a violé son obligation de collaborer (cf. art 8 LAsi ; cf. également ATAF 2009/50 consid. 10). Outre qu'il n'est en rien étayé et invoqué uniquement au stade du recours, le fait que ces rapports lui ont été refusés par son médecin ne saurait quoi qu'il en soit l'exonérer de cette obligation. Il lui incombait le cas échéant d'en informer sans tarder le SEM ou de s'adresser à un autre praticien. Le recourant a ainsi délibérément empêché l'examen complet et actualisé de son tableau clinique ; ce comportement suggère que les pathologies en question sont à ce jour guéries, respectivement qu'elles ne constituent pas ou plus un obstacle à l'exécution du renvoi.</w:t>
      </w:r>
    </w:p>
    <w:p>
      <w:r>
        <w:rPr>
          <w:b/>
        </w:rPr>
        <w:t>E. 7.4.3</w:t>
      </w:r>
    </w:p>
    <w:p>
      <w:r>
        <w:t>Quand bien même ils seraient suffisamment documentés et subsisteraient à ce jour, les troubles invoqués - soit pour rappel une varicocèle bilatérale de grade 1, une urétrite à chlamydia trachomatis, des gonalgies droites, une probable maladie de Gilbert, un état de stress post-traumatique et des insomnies - (que le Tribunal n'entend en rien minimiser) ne sont pas d'une gravité telle, au sens de la jurisprudence susmentionnée, qu'ils constitueraient un obstacle à l'exécution du renvoi.</w:t>
      </w:r>
    </w:p>
    <w:p>
      <w:r>
        <w:rPr>
          <w:b/>
        </w:rPr>
        <w:t>E. 7.4.4</w:t>
      </w:r>
    </w:p>
    <w:p>
      <w:r>
        <w:t>Concernant les idéations suicidaires évoquées, il est rappelé que selon la pratique du Tribunal, ni une tentative de suicide ni des tendances suicidaires (« suicidalité ») ne constituent en soi un obstacle à l'exécution du renvoi, y compris au niveau de son exigibilité, seule une mise en danger présentant des formes concrètes devant être prise en considération (cf. p. ex. arrêts du Tribunal E-5191/2019 du 25 juin 2020 consid. 7.3.1.2 ; D-2909/2018 du 1er mai 2020 consid. 12.5.3 ; E-1165/2020 du 20 avril 2020 consid. 7.3). Un tel cas de figure fait défaut en l'espèce.</w:t>
      </w:r>
    </w:p>
    <w:p>
      <w:r>
        <w:rPr>
          <w:b/>
        </w:rPr>
        <w:t>E. 7.4.5</w:t>
      </w:r>
    </w:p>
    <w:p>
      <w:r>
        <w:t>Il ressort au demeurant de la décision querellée que des traitements psychiatriques adéquats sont disponibles au Cameroun, de sorte que l'intéressé pourra, le cas échéant et si nécessaire, y poursuivre le suivi initié en Suisse.</w:t>
      </w:r>
    </w:p>
    <w:p>
      <w:r>
        <w:rPr>
          <w:b/>
        </w:rPr>
        <w:t>E. 7.4.6</w:t>
      </w:r>
    </w:p>
    <w:p>
      <w:r>
        <w:t>Bien que cela ne soit pas décisif, il est également rappelé qu'il sera possible au recourant de se constituer une réserve de médicaments avant son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w:t>
      </w:r>
    </w:p>
    <w:p>
      <w:r>
        <w:rPr>
          <w:b/>
        </w:rPr>
        <w:t>E. 7.5</w:t>
      </w:r>
    </w:p>
    <w:p>
      <w:r>
        <w:t>Pour le surplus, l'autorité de céans relève que le recourant est jeune et en mesure de pourvoir à ses besoins sur le plan financier. Rien n'indique en outre qu'il ne bénéficie pas d'un réseau familial et social dans son pays (cf. supra, consid. 3), sur lequel il pourra compter à son retour. A cet égard, il est rappelé que le recourant a lui-même indiqué être en contact avec des amis au Cameroun, où il a également été en mesure de trouver, au mois d'août 2020, deux témoins à même d'attester son célibat.</w:t>
      </w:r>
    </w:p>
    <w:p>
      <w:r>
        <w:rPr>
          <w:b/>
        </w:rPr>
        <w:t>E. 7.6</w:t>
      </w:r>
    </w:p>
    <w:p>
      <w:r>
        <w:t>Enfin, le degré d'intégration en Suisse du recourant n'entre en principe pas dans les critères prévus par l'art. 83 al. 4 LEI pour l'octroi d'une admission provisoire (cf. ATAF 2009/52 consid. 10.3 ; JICRA 2006 n° 13 consid. 3.5). Cet élément peut, le cas échéant, être invoqué dans le cadre d'une demande d'autorisation de séjour exceptionnelle pour cas de rigueur grave (cf. art. 14 al. 2 LAsi).</w:t>
      </w:r>
    </w:p>
    <w:p>
      <w:r>
        <w:rPr>
          <w:b/>
        </w:rPr>
        <w:t>E. 7.7</w:t>
      </w:r>
    </w:p>
    <w:p>
      <w:r>
        <w:t>Pour ces motifs, l'exécution du renvoi doit être considérée comme raisonnablement exigible.</w:t>
      </w:r>
    </w:p>
    <w:p>
      <w:r>
        <w:rPr>
          <w:b/>
        </w:rPr>
        <w:t>E. 8.1</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8.2</w:t>
      </w:r>
    </w:p>
    <w:p>
      <w:r>
        <w:t>La situation actuelle liée à la propagation dans le monde de la maladie à coronavirus (Covid-19) ne justifie pas de surseoir au présent prononcé. Si cette situation devait, dans le cas d'espèce, retarder momentanément l'exécution du renvoi, celle-ci interviendrait nécessairement plus tard, en temps appropriés (voir notamment à ce sujet les arrêts du Tribunal E-6856/2017 du 6 avril 2020 consid. 9, D-5461/2019 du 26 mars 2020 p. 7 et D-1282/2020 du 25 mars 2020 consid. 5.5).</w:t>
      </w:r>
    </w:p>
    <w:p>
      <w:r>
        <w:rPr>
          <w:b/>
        </w:rPr>
        <w:t>E. 9</w:t>
      </w:r>
    </w:p>
    <w:p>
      <w:r>
        <w:t>En conséquence, le recours, mal fondé, est rejeté également en tant qu'il porte sur les questions du renvoi et de son exécution.</w:t>
      </w:r>
    </w:p>
    <w:p>
      <w:r>
        <w:rPr>
          <w:b/>
        </w:rPr>
        <w:t>E. 10.1</w:t>
      </w:r>
    </w:p>
    <w:p>
      <w:r>
        <w:t>Au vu de l'issue de la cause, il y aurait lieu de mettre les frais de procédure à la charge du recourant, conformément aux art. 63 al. 1 PA et art. 2 et 3 du règlement du 21 février 2008 concernant les frais, dépens et indemnités fixés par le Tribunal administratif fédéral (FITAF, RS 173.320.2). Le recourant en a toutefois été dispensé par décision incidente du 9 juin 2021 ; aucun indice ne permet de penser que sa situation financière se soit notablement améliorée dans l'intervalle. Il n'est en conséquence pas perçu de frais.</w:t>
      </w:r>
    </w:p>
    <w:p>
      <w:r>
        <w:rPr>
          <w:b/>
        </w:rPr>
        <w:t>E. 10.2</w:t>
      </w:r>
    </w:p>
    <w:p>
      <w:r>
        <w:t>Il sied par ailleurs d'allouer une indemnité à titre d'honoraires au mandataire d'office du recourant pour les frais indispensables liés à la défense de ses intérêts (cf. art. 10 FITAF). Le relevé de prestations produit en annexe au recours par ledit mandataire fait état d'un total de sept heures de travail, auquel le Tribunal ajoute une heure pour le travail effectué ultérieurement, ce qui paraît adapté à la nature et à la complexité de la cause. Il est rappelé qu'en cas de représentation d'office en matière d'asile, le tarif horaire est, dans la règle, de 100 à 150 francs pour les représentants non titulaires du brevet d'avocat (cf. art. 12 en rapport avec l'art. 10 al. 2 FITAF). Le montant à verser à titre d'indemnisation pour le mandat d'office est arrêté, compte tenu de ce tarif, à 1'200 francs, toutes taxes comprises.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