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E-2594/2012 vom 22. Mai 2012</w:t>
      </w:r>
    </w:p>
    <w:p>
      <w:r>
        <w:t>Bundesverwaltungsgericht, 2012-05-22, DE</w:t>
      </w:r>
    </w:p>
    <w:p>
      <w:r>
        <w:rPr>
          <w:b/>
        </w:rPr>
        <w:t xml:space="preserve">Quelle: </w:t>
      </w:r>
      <w:r>
        <w:t>https://mcp.opencaselaw.ch/entscheid/bvger_E-2594_2012</w:t>
      </w:r>
    </w:p>
    <w:p>
      <w:r>
        <w:t>FR: TAF E-2594/2012 du 22 mai 2012</w:t>
      </w:r>
    </w:p>
    <w:p>
      <w:r>
        <w:t>IT: TAF E-2594/2012 del 22 maggio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vorinstanzlichen Verfügung beantragt wird.</w:t>
      </w:r>
    </w:p>
    <w:p>
      <w:r>
        <w:rPr>
          <w:b/>
        </w:rPr>
        <w:t>E. 2</w:t>
      </w:r>
    </w:p>
    <w:p>
      <w:r>
        <w:t>Die Verfügung des BFM vom 11. April 2012 wird aufgehoben und die Sache im Sinne der Erwägungen zur Neubeurteilung an die Vorinstanz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hat dem Beschwerdeführer für das Verfahren vor dem Bundesverwaltungsgericht eine Parteientschädigung von Fr. 400.- zu entrichten.</w:t>
      </w:r>
    </w:p>
    <w:p>
      <w:r>
        <w:rPr>
          <w:b/>
        </w:rPr>
        <w:t>E. 5</w:t>
      </w:r>
    </w:p>
    <w:p>
      <w:r>
        <w:t>Dieses Urteil geht an den Beschwerdeführer, das BFM und (...). Der Einzelrichter: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