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E-2591/2016 vom 24. Juli 2018</w:t>
      </w:r>
    </w:p>
    <w:p>
      <w:r>
        <w:t>Bundesverwaltungsgericht, 2018-07-24, DE</w:t>
      </w:r>
    </w:p>
    <w:p>
      <w:r>
        <w:rPr>
          <w:b/>
        </w:rPr>
        <w:t xml:space="preserve">Quelle: </w:t>
      </w:r>
      <w:r>
        <w:t>https://mcp.opencaselaw.ch/entscheid/bvger_E-2591_2016</w:t>
      </w:r>
    </w:p>
    <w:p>
      <w:r>
        <w:t>FR: TAF E-2591/2016 du 24 juillet 2018</w:t>
      </w:r>
    </w:p>
    <w:p>
      <w:r>
        <w:t>IT: TAF E-2591/2016 del 24 luglio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vor Bundesverwaltungsgericht können im Asylbereich die Verletzung von Bundesrecht (einschliesslich Missbrauch und Überschreiten des Ermessens) sowie die unrichtige oder unvollständige Feststellung des rechtserheblichen Sachverhalts gerügt werden (Art. 106 Abs. 1 AsylG). Im Bereich des Ausländerrechts richtet sich die Kognition nach Art. 49 VwVG, weshalb die Rüge der Unangemessenheit in diesem Bereich zugelassen wird (vgl. BVGE 2014/26 E. 5).</w:t>
      </w:r>
    </w:p>
    <w:p>
      <w:r>
        <w:rPr>
          <w:b/>
        </w:rPr>
        <w:t>E. 3</w:t>
      </w:r>
    </w:p>
    <w:p>
      <w:r>
        <w:t>Das Hauptbegehren, die angefochtene Verfügung sei aufzuheben und die Sache zur vollständigen Abklärung des Sachverhalts an die Vorinstanz zurückzuweisen, wird damit begründet, von der Vorinstanz sei unbeachtet geblieben, dass aufgrund verschiedener Aussagen der Beschwerdeführerin nicht ausgeschlossen werden könne, dass sie Opfer von Menschenhandel geworden sei. Diesbezüglich ist festzustellen, dass das SEM den Sachverhalt - losgelöst von der Frage, ob die Beschwerdeführerin Opfer von Menschenhandel geworden sein könnte - richtig und vollständig festgestellt hat. In der Vernehmlassung wurde begründet, weshalb den Aussagen der Beschwerdeführerin aus Sicht des SEM keine Hinweise auf Menschenhandel entnommen werden könnten. Die Rüge der unvollständigen respektive unvollständigen Abklärung des Sachverhaltes erweist sich somit als unbegründet, respektive wäre ein allfälliger Mangel mit den diesbezüglichen Ausführungen in der Vernehmlassung als geheilt zu erachten. Der Antrag auf Kassation der angefochtenen Verfügung ist somit abzuweisen. In materieller Hinsicht richtet sich die vorliegende Beschwerde entsprechend dem Eventualbegehren ausschliesslich gegen den Vollzug der Wegweisung. Die Dispositivziffern 1 (Verneinen der Flüchtlingseigenschaft), 2 (Ablehnung des Asylgesuchs) und 3 (Wegweisung aus der Schweiz) der Verfügung vom 29. März 2016 sind mangels Anfechtung in Rechtskraft erwachsen.</w:t>
      </w:r>
    </w:p>
    <w:p>
      <w:r>
        <w:rPr>
          <w:b/>
        </w:rPr>
        <w:t>E. 4</w:t>
      </w:r>
    </w:p>
    <w:p>
      <w:r>
        <w:t>Hinsichtlich der Frage, ob die Beschwerdeführerin allenfalls Opfer von Menschenhandel geworden sein könnte, ist den diesbezüglichen Ausführungen in der Beschwerde insofern beizupflichten, als aufgrund verschiedener Aussagen Menschenhandel nicht gänzlich ausgeschlossen werden kann. Vorab ist festzustellen, dass das SEM den Aufenthalt der Beschwerdeführerin in Syrien nicht bestreitet. Diesbezüglich sagte die Beschwerdeführerin bei der Anhörung unter anderem aus, sie sei von einem Schlepper mit 40 ihr unbekannten Frauen nach Syrien gebracht worden, wo sie und die anderen Frauen von vier Männern in eine Wohnung gebracht und am Tag darauf von ihrer zukünftigen Arbeitgeberin abgeholt worden sei (A12/18 F204 ff.). Ihren Pass und alle ihre anderen Dokumente habe sie dem Schlepper abgeben müssen; dieser habe den Pass ihrer Arbeitgeberin gegeben (A12/3 F11 ff.). Sie habe das Haus, wo sie während (...) Jahren (...) gearbeitet habe, nur selten und nie ohne Begleitung verlassen dürfen. Sie habe sich auf der Strasse nicht frei bewegen können, weil sie keinen Ausweis gehabt habe (A12/21 F236 ff.). Eine Prüfung des Gefährdungsrisikos der Beschwerdeführerin, bei einer Rückkehr nach Äthiopien allenfalls Opfer von Menschenhandel zu werden, hätte aufgrund des rein gemeinrechtlichen Charakters einer solchen Straftat im Rahmen der Wegweisungsvollzugshindernisse nach Art. 83 Abs. 3 AuG (im Sinne eines Unzulässigkeitskriteriums nach Art. 3 oder 4 EMRK) zu erfolgen. Wie nachstehend aufzuzeigen ist, erweist sich der Vollzug der Wegweisung der Beschwerdeführerin nach Äthiopien aber als unzumutbar, weshalb aufgrund der alternativen Natur der Vollzugshindernisse kein schutzwürdiges Interesse an der Feststellung der Unzulässigkeit des Wegweisungsvollzugs wegen drohender Verletzung von Art. 3 oder 4 EMRK besteht (vgl. statt vieler: BVGE 2011/7 E. 8 und 2009/51 E. 5.4). Die Vor-instanz ist indessen angesichts gewisser Anhaltspunkte für das Vorliegen von Menschenhandel gehalten, die zuständige Fachstelle entsprechend zu informieren.</w:t>
      </w:r>
    </w:p>
    <w:p>
      <w:r>
        <w:rPr>
          <w:b/>
        </w:rPr>
        <w:t>E. 5</w:t>
      </w:r>
    </w:p>
    <w:p>
      <w:r>
        <w:t>Ist der Vollzug der Wegweisung nicht zulässig, nicht zumutbar oder nicht möglich, regelt die Vorinstanz das Anwesenheitsverhältnis nach den gesetzlichen Bestimmungen über die vorläufige Aufnahme von Ausländern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Das Bundesverwaltungsgericht geht in konstanter Praxis von einer grundsätzlichen Zumutbarkeit des Wegweisungsvollzugs nach Äthiopien aus. Die allgemeine Lage ist nicht von Krieg, Bürgerkrieg oder einer Situation allgemeiner Gewalt geprägt, so dass eine Rückkehr von Personen auch im heutigen Zeitpunkt gemäss konstanter Rechtsprechung des Bundesverwaltungsgerichts generell zumutbar ist (vgl. BVGE 2011/25 E. 8.3).</w:t>
      </w:r>
    </w:p>
    <w:p>
      <w:r>
        <w:rPr>
          <w:b/>
        </w:rPr>
        <w:t>E. 6.2.2</w:t>
      </w:r>
    </w:p>
    <w:p>
      <w:r>
        <w:t>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gibt es im heutigen Zeitpunkt keinen offenen Konflikt im Grenzgebiet zwischen Äthiopien und Eritrea. Hinzu kommt, dass die äthiopische Regierung kürzlich in einer aufsehenerregenden Ankündigung festgehalten hat, das Waffenstillstandsabkommen von 2000 bedingungslos akzeptieren und umzusetzen zu wollen (vgl. etwa Neue Zürcher Zeitung [NZZ], 5. Juni 2018: "Äthiopien akzeptiert Friedensabkommen mit Langzeit-Rivale Eritrea"). In der Folge fanden vor wenigen Tagen erste technische Gespräche im Hinblick auf eine Normalisierung des Verhältnisses der beiden Staaten statt (vgl. NZZ, 27. Juni 2018: "Friedensgespräche zwischen Langzeit-Rivalen Äthiopien und Eritrea"). Am 9. Juli 2018 unterzeichneten Äthiopiens Regierungschef Abiy Ahmed und Eritreas Präsident Isaias Afewerki in Asmara einen Friedens- und Freundschaftsvertrag (vgl. NZZ, 9. Juli 2018: "Äthiopien und Eritrea schliessen Frieden").</w:t>
      </w:r>
    </w:p>
    <w:p>
      <w:r>
        <w:rPr>
          <w:b/>
        </w:rPr>
        <w:t>E. 6.2.3</w:t>
      </w:r>
    </w:p>
    <w:p>
      <w:r>
        <w:t>Die sozioökonomische Situation alleinstehender Frauen in Äthiopien muss als allgemein schwierig bezeichnet werden. Für alleinstehende Frauen, die nach Äthiopien zurückkehren, ist es nicht leicht, sozialen Anschluss zu finden. Unverheiratete und alleine lebende Frauen gelten grundsätzlich als suspekt, da die kulturelle Norm für unverheiratete Frauen ein Leben in der Familie vorsieht. Eine Wohnung zu finden, ist in der Regel nur über Bekannte möglich. Die Arbeitslosigkeit von Frauen in Addis Abeba ist hoch.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Arbeiten, welche gesundheitliche Risiken bergen, so beispielsweise in der Prostitution oder in Haushalten, wo sie regelmässig verschiedenen Formen der Gewalt, auch sexueller, ausgesetzt sind (vgl. BVGE 2011/25 E. 8.5 m.w.H.).</w:t>
      </w:r>
    </w:p>
    <w:p>
      <w:r>
        <w:rPr>
          <w:b/>
        </w:rPr>
        <w:t>E. 6.2.4</w:t>
      </w:r>
    </w:p>
    <w:p>
      <w:r>
        <w:t>Trotz des wirtschaftlichen Booms mit zeitweilig zweistelligen Wachstumsraten, den Äthiopien in den letzten Jahren erlebte und von welchem vorab die urbane Mittelschicht profitiert hat, hat sich insbesondere an der grundsätzlichen Benachteiligung von Frauen in der äthiopischen Gesellschaft sowie insbesondere in der äthiopischen Wirtschaft nichts Wesentliches geändert (vgl. Urteil BVGer E-2118/2015 vom 3. Juli 2017 E. 7.3.4 m.w.H.). Weiterhin sind sexuelle Gewalt gegen Frauen und Diskriminierung von Frauen und Mädchen in Äthiopien weit verbreitet, wobei das politische System und das Justizsystem Opfer sexueller Gewalt kaum unterstützen (vgl. Radio France Internationale (RFI), Ethiopie: Addis-Abeba, capitale africaine de la prostitution, 03.01.2015, &lt;http://www.rfi.fr/afrique/20150103-ethiopie-prostitution-exploitation-sexuelle-mineurs-departement-etat-americain/&gt;; Wada, Tsehai, Rethinking the Ethiopian Rape Law, in: Journal of Ethiopian Law, XXV(2), 2012, 190-226, &lt;http://www.academia.edu/947 9212/Some_Points_on_the_Ethiopian_Anti-terrorism_Law_from_Human_ Rights_Perspective&gt;; The Guardian, Kidnapped, raped and left for dead: who will protect Ethiopia's girls?, 11.12.2014, &lt;http://www.theguardian. com/global-development-professionals-netork/2014/dec/11/violence-ethiopia-girls-justice-for-hanna , alle abgerufen am 6. April 2018). Ebenfalls haben Frauen auch in städtischen Gebieten immer noch weniger Arbeitsmöglichkeiten als Männer. Besonders schwierig gestaltet sich die Stellensuche für Frauen ohne Universitätsabschluss (vgl. U.S. Department of State, Country Reports on Human Rights Practices for 2013 - Ethiopia, 27.02. 2014, http://www.state.gov/j/drl/rls/hrrpt/humanrightsreport/index.htm?ye ar=2013&amp;dlid=220113&gt;, abgerufen am 6. April 2018; vgl. zum Ganzen etwa Urteile BVGer E-2118/2015 vom 3. Juli 2017 oder E-7783/2016 vom 28. Juni 2018). Verschiedene Berichte weisen jedoch gleichzeitig und übereinstimmend darauf hin, dass die äthiopische Regierung in Zusammenarbeit mit internationalen Organisationen und Nichtregierungsorganisationen Massnahmen ergriffen hat, welche auf die Verminderung der Geschlechterdiskriminierung abzielen, und dass hierbei schon kleinere Verbesserungen erzielt werden konnten. Diese Anstrengungen zur Verbesserung sind zur Kenntnis zu nehmen und im Einzelfall zu berücksichtigen (vgl. dazu Urteil BVGer D-3593/2015 vom 2. Februar 2016 E. 6.3.3.4).</w:t>
      </w:r>
    </w:p>
    <w:p>
      <w:r>
        <w:rPr>
          <w:b/>
        </w:rPr>
        <w:t>E. 6.3.1</w:t>
      </w:r>
    </w:p>
    <w:p>
      <w:r>
        <w:t>Vorliegend ist zu berücksichtigen und wird von der Vorinstanz nicht bestritten, dass die Beschwerdeführerin seit ihrem (...)- oder (...)zehnten Lebensjahr nicht mehr in Äthiopien gelebt hat. Selbst wenn sie noch Kontakt zu ihrer Mutter haben sollte, ist aufgrund ihrer Aussage, wonach sie ihr Geld habe schicken müssen (A12/9 F96), nicht davon auszugehen, dass sie der Beschwerdeführerin bei einer Reintegration behilflich sein könnte. Hinzu kommt, dass die Beschwerdeführerin weder über eine Schulbildung noch eine berufliche Ausbildung verfügt (A3/5 Ziff. 1.17.04). Der Hinweis in der Vernehmlassung auf die langjährige Berufserfahrung als (...) in Syrien und ihre Arabischkenntnisse ist vor diesem Hintergrund nicht geeignet, einen begünstigenden Umstand darzutun. Erschwerend kommt hinzu, dass bei der Beschwerdeführerin gemäss ärztlichem Zeugnis vom 17. Juni 2016 eine mittelgradig depressive Episode und eine posttraumatische Belastungsstörung diagnostiziert wurden. Auch wenn von keiner behandlungsbedürftigen psychischen Erkrankung mehr auszugehen wäre, kann jedoch ein Wiederauftreten entsprechender Symptome respektive eine Dekompensation im Falle einer erzwungenen Rückkehr in ihren Heimatstaat nicht völlig ausgeschlossen werden. Dies zumal angesichts dessen, dass aufgrund der vorliegenden Akten nicht ausgeschlossen werden kann, dass die Beschwerdeführerin bereits in der Vergangenheit Opfer von Gewalt (auch sexueller) geworden ist. Ohne auf die Frage der Behandelbarkeit der umschriebenen gesundheitlichen Probleme in Äthiopien näher einzugehen, kann jedenfalls festgestellt werden, dass sich durch diese Umstände der Eindruck verstärkt, die Beschwerdeführerin würde ohne Unterstützung durch Bezugspersonen in ihrem Heimatstaat einem erheblichen Risiko ausgesetzt, in eine existenzgefährdende Situation zu geraten. Dieser Eindruck wird nicht zuletzt durch die Beschreibung des Psychostatus der Beschwerdeführerin im psychiatrischen Bericht vom 17. Juni 2016 verstärkt, wo festgehalten wird, die Statur der Beschwerdeführerin sei sehr kindlich zierlich, ebenso wirke ihre Persönlichkeit eher kindlich.</w:t>
      </w:r>
    </w:p>
    <w:p>
      <w:r>
        <w:rPr>
          <w:b/>
        </w:rPr>
        <w:t>E. 6.3.2</w:t>
      </w:r>
    </w:p>
    <w:p>
      <w:r>
        <w:t>Nach dem Gesagten gelangt das Gericht unter Berücksichtigung aller massgebenden Umstände zum Schluss, dass vorliegend keine begünstigenden Faktoren gegeben sind, die es gemäss geltender Rechtsprechung rechtfertigen würden, die Zumutbarkeit des Wegweisungsvollzug trotz der generell sehr schwierigen Situation alleinstehender Frauen in Äthiopien zu bejahen. Eine erzwungene Rückkehr würde die Beschwerdeführerin im jetzigen Zeitpunkt in eine Situation bringen, die sie mit erheblicher Wahrscheinlichkeit einer konkreten Gefährdung im Sinne des Gesetzes (Art. 83 Abs. 4 AuG) aussetzen würde. Der Vollzug der Wegweisung erweist sich deshalb aktuell als unzumutbar.</w:t>
      </w:r>
    </w:p>
    <w:p>
      <w:r>
        <w:rPr>
          <w:b/>
        </w:rPr>
        <w:t>E. 7</w:t>
      </w:r>
    </w:p>
    <w:p>
      <w:r>
        <w:t>Die Beschwerde ist somit gutzuheissen. Die Dispositivziffern 4 und 5 der Verfügung vom 29. März 2016 sind aufzuheben und das SEM ist anzuweisen, die Beschwerdeführerin in der Schweiz wegen Unzumutbarkeit des Wegweisungsvollzugs vorläufig aufzunehmen.</w:t>
      </w:r>
    </w:p>
    <w:p>
      <w:r>
        <w:rPr>
          <w:b/>
        </w:rPr>
        <w:t>E. 8.1</w:t>
      </w:r>
    </w:p>
    <w:p>
      <w:r>
        <w:t>Bei diesem Ausgang des Verfahrens sind keine Kosten zu erheben (Art. 63 Abs. 1 und 2 VwVG), womit der mit Zwischenverfügung vom 23. August 2016 gutgeheissene Antrag auf Gewährung der unentgeltlichen Rechtspflege im Sinne von Art. 65 Abs. 1 VwVG gegenstandslos wird.</w:t>
      </w:r>
    </w:p>
    <w:p>
      <w:r>
        <w:rPr>
          <w:b/>
        </w:rPr>
        <w:t>E. 8.2</w:t>
      </w:r>
    </w:p>
    <w:p>
      <w:r>
        <w:t>Der Beschwerdeführerin ist angesichts ihres Obsiegens in Anwendung von Art. 64 VwVG und Art. 7 Abs. 1 des Reglements vom 21. Februar 2008 über die Kosten und Entschädigungen vor dem Bundesverwaltungsgericht (VGKE, SR 173.320.2) eine Parteientschädigung für die ihr erwachsenen notwendigen Parteikosten zuzusprechen. Auf das Einholen einer Kostennote kann verzichtet werden (vgl. Art. 14 Abs. 2 VGKE), weil sich der Aufwand zuverlässig abschätzen lässt. Gestützt auf die in Betracht zu ziehenden Bemessungsfaktoren (Art. 9-13 VGKE) und die Entschädigungspraxis in Vergleichsfällen ist der Beschwerdeführer für das Beschwerdeverfahren eine von der Vorinstanz zu entrichtende Parteientschädigung von insgesamt Fr. 800.- (inkl. Auslagen und allfälliger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