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E-2569/2014 vom 21. Mai 2014</w:t>
      </w:r>
    </w:p>
    <w:p>
      <w:r>
        <w:t>Bundesverwaltungsgericht, 2014-05-21, DE</w:t>
      </w:r>
    </w:p>
    <w:p>
      <w:r>
        <w:rPr>
          <w:b/>
        </w:rPr>
        <w:t xml:space="preserve">Quelle: </w:t>
      </w:r>
      <w:r>
        <w:t>https://mcp.opencaselaw.ch/entscheid/bvger_E-2569_2014</w:t>
      </w:r>
    </w:p>
    <w:p>
      <w:r>
        <w:t>FR: TAF E-2569/2014 du 21 mai 2014</w:t>
      </w:r>
    </w:p>
    <w:p>
      <w:r>
        <w:t>IT: TAF E-2569/2014 del 21 maggio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4.1</w:t>
      </w:r>
    </w:p>
    <w:p>
      <w:r>
        <w:t>Die Vorinstanz gelangt in der angefochtenen Verfügung zum Schluss, dass die Vorbringen des Beschwerdeführers den Anforderungen an die Flüchtlingseigenschaft nicht genügen. Sie begründet ihre Entscheidung ausführlich und es kann an dieser Stelle ohne Einschränkung auf die vorinstanzlichen Erwägungen verwiesen werden. Was der Beschwerdeführer gegen diese vorbringt, ist nicht geeignet, eine Verletzung von Bundesrecht aufzuzeigen. Solches ist auch nicht zu erkennen.</w:t>
      </w:r>
    </w:p>
    <w:p>
      <w:r>
        <w:rPr>
          <w:b/>
        </w:rPr>
        <w:t>E. 4.2</w:t>
      </w:r>
    </w:p>
    <w:p>
      <w:r>
        <w:t>Die Schilderungen des Beschwerdeführers zu den polizeilichen Festnahmen und behördlichen Befragungen erreichen weder je für sich noch in der Summe den Grad ernsthafter Nachteile im Sinne des Flüchtlingsbegriffs von Art. 3 AsylG. In der Tat ist der Vorinstanz in ihren Ausführungen zuzustimmen, wonach die Vorbringen des Beschwerdeführers keinerlei Asylrelevanz erkennen lassen. Der Beschwerdeführer war gemäss eigenen Angaben nie im Gefängnis und es läuft auch kein strafrechtliches Verfahren gegen ihn. Er übte in keiner Organisation eine wichtige Funktion aus, sondern nahm im Wesentlichen lediglich an mehrheitlich bewilligten Demonstrationen teil. Die infolge dieser Demonstrationsteilnahmen erfolgten Festnahmen waren immer nur von kurzer Dauer, es gab keine physische Gewalt, sondern lediglich Befragungen durch die Polizei.</w:t>
      </w:r>
    </w:p>
    <w:p>
      <w:r>
        <w:rPr>
          <w:b/>
        </w:rPr>
        <w:t>E. 4.3.1</w:t>
      </w:r>
    </w:p>
    <w:p>
      <w:r>
        <w:t>Im Unterschied zu seinem Bruder war der Beschwerdeführer nie Mitglied einer illegalen Organisation, weshalb auch die pauschalisierende Behauptung in der Rechtsmitteleingabe, ihm würde "wie bereits seinem Bruder [...] eine lange Freiheitsstrafe" drohen (Ziffer 3.4.2), fehl geht. Bezeichnenderweise haben sich die Sicherheitskräfte seit der Ausreise des Beschwerdeführers aus der Türkei bei dessen Eltern wiederholt nach dem Verbleib von dessen Bruder erkundigt, nicht aber nach ihm (A 7/15, S. 12). Die behauptete Reflexverfolgung sowie die Furcht, dass er im Fall einer Rückkehr wegen seiner Weigerung, als Spitzel für die Polizei zu fungieren, von dieser verfolgt werden könnte, entbehren angesichts der geschilderten Vorkommnisse sowie der rundweg legalen Tätigkeiten des Beschwerdeführers jeder Grundlage.</w:t>
      </w:r>
    </w:p>
    <w:p>
      <w:r>
        <w:rPr>
          <w:b/>
        </w:rPr>
        <w:t>E. 4.3.2</w:t>
      </w:r>
    </w:p>
    <w:p>
      <w:r>
        <w:t>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Ein erhöhtes Risiko besteht insbesondere für Personen, die sich offen für politisch aktive Verwandte einsetzen oder für Angehörige von Personen, die flüchtig sind und nach denen gefahndet wird, oder für Familienmitglieder, die über ein eigenes nicht unbedeutendes politisches Engagement für illegale politische Organisationen verfügen beziehungsweise ihnen ein solches seitens der Behörden unterstellt wird (vgl. Urteile D-3341/2011 vom 10. April 2013 E. 4.6, E-8572/2010 vom 15. Mai 2012 E. 5.3.2 und E-255/2009 vom 20. Januar 2012 E. 5.1).</w:t>
      </w:r>
    </w:p>
    <w:p>
      <w:r>
        <w:rPr>
          <w:b/>
        </w:rPr>
        <w:t>E. 4.3.3</w:t>
      </w:r>
    </w:p>
    <w:p>
      <w:r>
        <w:t>Soweit der Beschwerdeführer als Sympathisant der illegalen Organisation D._______ an ihren Demonstrationen teilgenommen, ihre Zeitschrift gekauft und Geld für sie gesammelt haben will, beziehen sich diese Aktivitäten allesamt auf die erste Hälfte der 1990er Jahre und haben sich somit vor zwanzig Jahren zugetragen. Das Verhalten der Behörden gegenüber dem Beschwerdeführer seither zeigen in keinster Weise Anzeichen weder einer direkten Verfolgung noch einer Reflexverfolgung aufgrund seiner damaligen Handlungen. Den dazu ergangenen vorinstanzlichen Erwägungen ist vollumfänglich zuzustimmen.</w:t>
      </w:r>
    </w:p>
    <w:p>
      <w:r>
        <w:rPr>
          <w:b/>
        </w:rPr>
        <w:t>E. 4.4</w:t>
      </w:r>
    </w:p>
    <w:p>
      <w:r>
        <w:t>Die eingereichten Zeitungsberichte sind als Beweismittel im Sinne der Rechtseingabe untauglich, da sie sich lediglich in allgemeiner Art mit dem Spitzelwesen des türkischen Geheimdienstes auseinandersetzen und - soweit das Gericht dies beurteilen kann - keinen direkten Bezug zum Beschwerdeführer aufweisen. Die schliesslich vorgebrachten gesundheitlichen Probleme kann der Beschwerdeführer ohne weiteres in der Türkei behandeln lassen, wie von der Vorinstanz zutreffend ausgeführt.</w:t>
      </w:r>
    </w:p>
    <w:p>
      <w:r>
        <w:rPr>
          <w:b/>
        </w:rPr>
        <w:t>E. 4.5</w:t>
      </w:r>
    </w:p>
    <w:p>
      <w:r>
        <w:t>Der Beschwerdeführer hat somit nicht aufgezeigt, inwiefern die angefochtene Verfügung Bundesrecht verletzt oder sonst zu beanstanden wäre (Art. 106 Abs. 1 AsylG), weshalb die Vorinstanz das Asylgesuch zu Recht abgelehnt hat.</w:t>
      </w:r>
    </w:p>
    <w:p>
      <w:r>
        <w:rPr>
          <w:b/>
        </w:rPr>
        <w:t>E. 5</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keine asylrelevanten Vorbringen geltend machen. Weder aus seinen Vorbringen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Weder die allgemeine Lage in der Türkei noch individuelle Gründe lassen eine konkrete Gefährdung im Fall einer Rückkehr des Beschwerdeführers erkennen. Der Vollzug der Wegweisung ist somit als zumutbar zu erachten.</w:t>
      </w:r>
    </w:p>
    <w:p>
      <w:r>
        <w:rPr>
          <w:b/>
        </w:rPr>
        <w:t>E. 6.4</w:t>
      </w:r>
    </w:p>
    <w:p>
      <w:r>
        <w:t>Es obliegt dem Beschwerdeführer, sich bei der zuständigen Vertretung seines Heimatlandes die für eine Rückkehr notwendigen Reisedokumente zu beschaffen (Art. 8 Abs. 4 AsylG; BVGE 2008/34 E. 12), weshalb der Vollzug der Wegweisung möglich ist.</w:t>
      </w:r>
    </w:p>
    <w:p>
      <w:r>
        <w:rPr>
          <w:b/>
        </w:rPr>
        <w:t>E. 6.5</w:t>
      </w:r>
    </w:p>
    <w:p>
      <w:r>
        <w:t>Die Vorinstanz hat den Vollzug demnach zu Recht als zulässig, zumutbar und möglich erachtet. Damit fällt die Anordnung einer vorläufigen Aufnahme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Prozessführung gemäss Art. 65 Abs. 1 VwVG. Er macht Bedürftigkeit geltend. Allerdings ergeben die vorstehenden Erwägungen, dass seine Begehren als aussichtslos zu gelten haben. Damit ist eine der kumulativ zu erfüllenden Voraussetzungen zur Gewährung der unentgeltlichen Rechtspflege nicht gegeben, weshalb dem Gesuch nicht stattzugeben ist.</w:t>
      </w:r>
    </w:p>
    <w:p>
      <w:r>
        <w:rPr>
          <w:b/>
        </w:rPr>
        <w:t>E. 8.2</w:t>
      </w:r>
    </w:p>
    <w:p>
      <w:r>
        <w:t>Weiter wird beantragt, es sei dem Beschwerdeführer ein unentgeltlicher Rechtsbeistand beizugeben. Wenn es zur Wahrung ihrer Rechte notwendig ist, bestellt die Beschwerdeinstanz der Partei einen Anwalt (Art. 65 Abs. 2 VwVG). Es ist nicht ersichtlich, inwiefern eine Verbeiständung für das Beschwerdeverfahren notwendig wäre, da der vorliegende Fall keiner spezifischen juristischen Kenntnisse bedarf. Auch wurde der Beschwerdeführer nicht von der Bezahlung der Verfahrenskosten befreit, was gemäss Art. 110a Abs. 1 AsylG eine Voraussetzung zur Gewährung der unentgeltlichen Verbeiständung bildet. Der Antrag auf unentgeltliche Verbeiständung ist somit abzuweisen.</w:t>
      </w:r>
    </w:p>
    <w:p>
      <w:r>
        <w:rPr>
          <w:b/>
        </w:rPr>
        <w:t>E. 8.3</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