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E-2567/2016 vom 23. Juni 2016</w:t>
      </w:r>
    </w:p>
    <w:p>
      <w:r>
        <w:t>Bundesverwaltungsgericht, 2016-06-23, DE</w:t>
      </w:r>
    </w:p>
    <w:p>
      <w:r>
        <w:rPr>
          <w:b/>
        </w:rPr>
        <w:t xml:space="preserve">Quelle: </w:t>
      </w:r>
      <w:r>
        <w:t>https://mcp.opencaselaw.ch/entscheid/bvger_E-2567_2016</w:t>
      </w:r>
    </w:p>
    <w:p>
      <w:r>
        <w:t>FR: TAF E-2567/2016 du 23 juin 2016</w:t>
      </w:r>
    </w:p>
    <w:p>
      <w:r>
        <w:t>IT: TAF E-2567/2016 del 23 giugno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Personen, die Gründe geltend machen, die wegen ihres Verhaltens nach der Ausreise entstanden sind und weder Ausdruck noch Fortsetzung einer bereits im Heimat- oder Herkunftsstaat bestehenden Überzeugung oder Ausrichtung sind, sind ebenfalls keine Flüchtlinge, wobei auch hier die Einhaltung der FK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wies in der angefochtenen Verfügung mit nachvollziehbarer Begründung auf eine Vielzahl von Ungereimtheiten im neuen Sachvortrag des Beschwerdeführers, sowie auf inhaltliche und formale Unstimmigkeiten des von ihm eingereichten Militärdienstaufgebots hin, welche begründete Zweifel an der Echtheit dieses Dokuments und damit an der Glaubhaftigkeit der von ihm zur Begründung des zweiten Asylgesuchs vorgebrachten Gründe aufkommen lassen würden.</w:t>
      </w:r>
    </w:p>
    <w:p>
      <w:r>
        <w:rPr>
          <w:b/>
        </w:rPr>
        <w:t>E. 5.2</w:t>
      </w:r>
    </w:p>
    <w:p>
      <w:r>
        <w:t>Diese Frage kann aber deshalb offengelassen werden, weil es diesem neuen Vorbringen jedenfalls an der asylrechtlichen Relevanz fehlt. Da somit die Frage der Echtheit des im zweiten Asylverfahren eingereichten Militärdienstaufgebots nicht ausschlaggebend ist, kann auch die Berechtigung der in diesem Zusammenhang erhobenen Rüge der Verletzung des rechtlichen Gehörs (weil ihm von der Vorinstanz keine Gelegenheit zur Stellungnahme gegeben worden sei) offen bleiben.</w:t>
      </w:r>
    </w:p>
    <w:p>
      <w:r>
        <w:rPr>
          <w:b/>
        </w:rPr>
        <w:t>E. 5.3</w:t>
      </w:r>
    </w:p>
    <w:p>
      <w:r>
        <w:t>Gemäss Rechtsprechung des Bundesverwaltungsgerichts vermag eine Wehrdienstverweigerung die Flüchtlingseigenschaft nur dann zu begründen, wenn damit eine Verfolgung im Sinne von Art. 3 AsylG verbunden ist, mit andern Worten die betroffene Person aus den in dieser Norm genannten Gründen wegen ihrer Wehrdienstverweigerung oder Desertion eine Behandlung zu gewärtigen hat, die ernsthaften Nachteilen gemäss Art. 3 Abs. 2 AsylG gleichkommt (vgl. BVGE 2015/3 E. 4.3-4.5 und 5). Ferner erweist sich eine Furcht vor politisch motivierter Bestrafung im Sinne von Art. 3 AsylG durch die heimatlichen Behörden wegen Dienstverweigerung oder Desertion im syrischen Kontext dann als objektiv begründet, wenn der Betroffene in der Vergangenheit bereits als Regimegegner aufgefallen ist (vgl. a.a.O. E. 6-7).</w:t>
      </w:r>
    </w:p>
    <w:p>
      <w:r>
        <w:rPr>
          <w:b/>
        </w:rPr>
        <w:t>E. 5.4</w:t>
      </w:r>
    </w:p>
    <w:p>
      <w:r>
        <w:t>Eine solche Situation ist beim Beschwerdeführer jedoch nicht gegeben, vermochte er doch im Rahmen seines ersten Asylverfahrens die geltend gemachten Probleme mit den syrischen Behörden sowie der PKK nicht glaubhaft zu machen. Es ergeben sich demnach aus den Akten keine stichhaltigen Anhaltspunkte für ein oppositionelles Profil des Beschwerdeführers, welches eine begründete Furcht vor asylrechtlich relevanten Nachteilen durch die syrischen Behörden wegen Nichtbefolgens eines allfälligen Militärdienstaufgebots rechtfertigen würde. Die Ausführungen in der Beschwerdeeingabe, mit welchen der Beschwerdeführer im Wesentlichen die Plausibilität des geltend gemachten Aufgebots zum Militärdienst zu untermauern versucht, vermögen keine andere Einschätzung zu rechtfertigen.</w:t>
      </w:r>
    </w:p>
    <w:p>
      <w:r>
        <w:rPr>
          <w:b/>
        </w:rPr>
        <w:t>E. 5.5</w:t>
      </w:r>
    </w:p>
    <w:p>
      <w:r>
        <w:t>Im Weiteren übersteigt die vom Beschwerdeführer geltend gemachte exilpolitische Tätigkeit in der Schweiz (zweimalige Teilnahme an Kundgebungen) die Schwelle der massentypischen Erscheinungsformen exilpolitischer Proteste durch syrische Staatsangehörige klarerweise nicht, und es erscheint aufgrund der Aktenlage unwahrscheinlich, dass seitens des syrischen Regimes ein besonderes Interesse an seiner Person bestehen könnte (vgl. zu den Anforderungen an die subjektiven Nachfluchtgründe syrischer Asylsuchender das Referenzurteil D-3839/2013 des Bundesverwaltungsgerichts vom 28. Oktober 2015).</w:t>
      </w:r>
    </w:p>
    <w:p>
      <w:r>
        <w:rPr>
          <w:b/>
        </w:rPr>
        <w:t>E. 5.6</w:t>
      </w:r>
    </w:p>
    <w:p>
      <w:r>
        <w:t>Zusammenfassend ist festzuhalten, dass es dem Beschwerde­füh­rer nicht gelungen ist, eine im Sinne von Art. 3 AsylG relevante Verfolgungsgefahr nachzu­weisen oder glaubhaft darzutun und die Vorinstanz sein Asylgesuch demzufolge zu Recht abgelehnt hat. Ebenso liegen keine subjektiven Nachfluchtgründe vor. Der Beschwerdeführer erfüllt die Flüchtlingseigenschaft nicht, und das SEM hat sein zweites Asylgesuch zu Recht abgewiesen.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6.3</w:t>
      </w:r>
    </w:p>
    <w:p>
      <w:r>
        <w:t>Da das SEM in seiner Verfügung vom 2. Oktober 2014 die vorläufige Aufnahme des Beschwerdeführers in der Schweiz anordnete und diese in der angefochtenen Verfügung vom 1. April 2016 bestätigte, erübrigen sich praxisgemäss Ausführungen zur Zulässigkeit, Zumutbarkeit und Möglichkeit des Wegweisungsvollzugs.</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in gleicher Höhe einbezahlte Kostenvorschuss ist zur Deckung der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