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E-255/2009 vom 20. Januar 2012</w:t>
      </w:r>
    </w:p>
    <w:p>
      <w:r>
        <w:t>Bundesverwaltungsgericht, 2012-01-20, DE</w:t>
      </w:r>
    </w:p>
    <w:p>
      <w:r>
        <w:rPr>
          <w:b/>
        </w:rPr>
        <w:t xml:space="preserve">Quelle: </w:t>
      </w:r>
      <w:r>
        <w:t>https://mcp.opencaselaw.ch/entscheid/bvger_E-255_2009</w:t>
      </w:r>
    </w:p>
    <w:p>
      <w:r>
        <w:t>FR: TAF E-255/2009 du 20 janvier 2012</w:t>
      </w:r>
    </w:p>
    <w:p>
      <w:r>
        <w:t>IT: TAF E-255/2009 del 20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ihrer abweisenden Verfügung fest, dass der Beschwerdeführer gemäss den eingereichten Urteilen vom (...) 2000 und vom (...) 2003 von den ihm zur Last gelegten Vorwürfen (Unterstützung der MLKP) mangels Beweisen respektive wegen Verjäh­rung freigesprochen worden sei. Diese Ereignisse seien zum Zeitpunkt der Ausreise des Beschwerdeführers bereits mehr als vier Jahre zurückgele­gen. Der Begriff der Flüchtlingseigenschaft setze jedoch voraus, dass zwischen Verfolgung und Flucht ein zeitlich und sachlich genügend enger kausaler Zusammenhang bestehe, was vorliegend nicht erfüllt sei. Dies auch unter Berücksichtigung dessen, dass der Beschwerdeführer für den Zeitraum nach dem Urteil vom (...) 2003 keine asylrelevanten Verfolgungsmassnahmen habe glaubhaft machen können. Er habe zwar geltend gemacht, seit der Ausreise seiner Brüder aus der Türkei habe er sich bedroht gefühlt. Seine Aussagen seien jedoch widersprüchlich, da er anlässlich der Befragung im EVZ ausgesagt habe, dass die Drohungen weniger durch die Polizei, als durch Banden ausgesprochen worden seien. Anlässlich der Anhörung habe er dagegen geltend gemacht, die Polizei habe bei ihm sicher zehn Razzien durchgeführt und ihn mit dem Tode be­droht. Dieses Vorbringen sei aufgrund der Diskrepanz in den Aussagen nicht glaubhaft. Weiter habe der Beschwerdeführer an der Anhörung vorgebracht, die Polizei habe zudem mehrmals seinen Arbeitgeber unter Druck gesetzt, damit er den Beschwerdeführer entlasse. Diesen Umstand habe er ebenso wenig in der EVZ-Befragung vorgebracht wie die geltend gemachten Polizeirazzien, weshalb diese Vorbringen als nachgeschoben zu gelten hätten und daher nicht glaubhaft seien.</w:t>
      </w:r>
    </w:p>
    <w:p>
      <w:r>
        <w:rPr>
          <w:b/>
        </w:rPr>
        <w:t>E. 4.2</w:t>
      </w:r>
    </w:p>
    <w:p>
      <w:r>
        <w:t>In der Beschwerdeeingabe wurde der Argumentation des BFM Folgendes entgegengehalten: Der Beschwerdeführer stamme aus einer be­kannten "politischen Familie", welche der MLKP nahestehe. Aus diesem Grund würden zahlreiche nahe Verwandte des Beschwerdeführers als anerkannte Flüchtlinge in der Schweiz leben. Dem Beschwerdeführer sei demnach zu glauben, dass er selber für die MLKP sympatisiert habe und zudem Mitglied im alevitischen Kulturverein (...) gewesen sei. Der vorinstanzlichen Feststellung, wonach der Beschwerdeführer seit 2003 keinen Behelligungen mehr ausgesetzt gewesen sei und der Kau­salzusammenhang zwischen Verfolgung und Flucht fehle, sei entgegen­zuhalten, dass den Befragungsprotokollen schlicht nicht entnommen werden könne, dass er seit 2003 bis zur Ausreise am 17. Februar 2007 keinen Behelligungen mehr ausgesetzt gewesen sei. Den Protokollen sei vielmehr zu entnehmen, dass er seit der Ausreise seiner Brüder seitens der Sicherheitskräfte fortwährend behelligt und mit dem Tod bedroht worden sei (vgl. A2/10 S. 5; A13/16 S. 6). Es könne daher keine Rede davon sein, dass der zeitliche sowie sachliche Kausalzusammenhang zwischen Verfolgung und Flucht unterbrochen worden sei. Das BFM ziehe darüber hinaus überhaupt nicht in Betracht, dass der Beschwerdeführer während der Gerichtsverfahren im Polizeigewahrsam und Untersuchungshaft gewesen sei, bei mehreren Gelegenheiten gefoltert beziehungsweise miss­handelt worden sei und dabei am [Körperteil] einen schweren Gesundheitsschaden davon getragen habe, dessen Sanierung in der Schweiz im Sommer 2008 eine mehrstündige Operation erforderlich gemacht habe. Diese vorgefallenen Behelligungen würden durchaus asylrelevanten Charakter entfalten und mindestens im Sinne einer erlittenen Vorverfolgung das Beweismass des fluchtauslösenden Ereignisses deutlich senken. Keine Widersprüche würden ferner hinsichtlich der Angaben in Bezug auf die Urheber der gegen den Beschwerdeführer erhobenen Drohungen vorliegen: Der Beschwerdeführer habe in der EVZ-Befragung vorgebracht, dass die Drohungen weniger durch die Polizei, sondern vielmehr durch Banden ausgesprochen worden seien (vgl. A2/10 S. 5). Dies könne nur insofern verstanden werden, als dass er sowohl von Seiten der offiziellen Sicherheitskräfte als auch seitens privater Dritter, welche er dem Dunstkreis des "tiefen Staates" zurechne, bedroht worden sei. Anlässlich der Anhörung habe er sodann die Drohungen seitens der Polizei sowie der nationalistischen Banden ausführlich geschildert (vgl. A13/16 S. 9). Dass der Beschwerdeführer überdies das Vorbringen, sein Arbeitgeber sei von der Polizei aufgesucht und unter Druck gesetzt worden, erst in der Anhörung vorgebracht habe, lasse es nicht per se unglaubhaft erscheinen. Es sei vielmehr eine notorische Massnahme, dass türkische Sicherheitskräfte politisch missliebigen Personen die finanzielle Existenzgrundlage zu entziehen versuchten, indem sie deren Arbeitgeber unter Druck setzen würden, sie zu entlassen. Im Übrigen sei zu berücksichtigen, dass beim Beschwerdeführer ein ökonomisches Fluchtmotiv unwahrscheinlich sei, habe er in der Türkei doch über ein regelmässiges und den Lebensunterhalt deckendes Einkommen verfügt. Des Weiteren habe das BFM die Fluchtgründe der beiden Brüder des Beschwerdeführers als glaubhaft beurteilt und sie als Flüchtlinge anerkannt; daher sei es nicht einleuchtend, weshalb es die Gefährdung des Beschwerdeführers durch eine Reflexverfolgung nicht anerkannt habe, nachdem er im vorliegenden Verfahren auch geltend gemacht habe, wegen seiner Brüder behelligt worden zu sein. Er müsse im Falle einer zwangsweisen Rückführung in die Türkei bereits beim kontrollierten Grenzübertritt mit einer Festnahme rechnen; im Polizeigewahrsam wäre er einem erheblichen Folterrisiko ausgesetzt. Das Bundesamt habe somit den familiären Hintergrund nicht zutreffend gewürdigt, obwohl diesem Fluchtgrund ausschlaggebende Bedeutung zukomme.</w:t>
      </w:r>
    </w:p>
    <w:p>
      <w:r>
        <w:rPr>
          <w:b/>
        </w:rPr>
        <w:t>E. 4.3</w:t>
      </w:r>
    </w:p>
    <w:p>
      <w:r>
        <w:t>In seiner Vernehmlassung vom 18. August 2009 hielt das BFM fest, die Verwandtschaft als solche mit politischen Aktivisten begründe noch keine Furcht vor asylrelevanter Reflexverfolgung durch die türkischen Behörden. Bei der Fahndung nach einer gesuchten Person könne es allenfalls zu gewissen Schikanen, Behelligungen und Verfolgungs-massnahmen gegenüber Verwandten kommen. In der Regel erreichten solche Benachteiligungen aber keine asylrelevante Intensität. Verwandte hätten überdies die Möglichkeit einer innerstaatlichen Wohnsitzverlegung - namentlich in eine der westlichen Grossstädte -, um sich allfälligen Belästigungen zu entziehen. Im vorliegenden Fall habe der Beschwerdeführer nicht glaubhaft machen können, dass er vom Zeitpunkt seines Freispruchs im Jahre 2003 bis zu seiner Ausreise aus der Türkei Mitte Februar 2007 asylrelevanten behördlichen Benachteiligungen ausgesetzt gewesen sei, was die grundsätzliche Einschätzung des BFM bestätige.</w:t>
      </w:r>
    </w:p>
    <w:p>
      <w:r>
        <w:rPr>
          <w:b/>
        </w:rPr>
        <w:t>E. 4.4</w:t>
      </w:r>
    </w:p>
    <w:p>
      <w:r>
        <w:t>Mit Eingabe vom 27. August 2009 an das Bundesverwaltungsgericht führte der Rechtsvertreter aus, der Beschwerdeführer habe durchaus nachvollziehbar und plausibel dargelegt, dass er bis zum Zeitpunkt seiner Ausreise behördlichen Behelligungen ausgesetzt gewesen sei. Die asylrelevante Gefährdung des Beschwerdeführers im Fall einer Rückkehr in die Türkei beruhe - wie dargelegt worden sei - auf seinen eigenen politi­schen Aktivitäten und denjenigen seiner Brüder.</w:t>
      </w:r>
    </w:p>
    <w:p>
      <w:r>
        <w:rPr>
          <w:b/>
        </w:rPr>
        <w:t>E. 5</w:t>
      </w:r>
    </w:p>
    <w:p>
      <w:r>
        <w:t>Im Nachfolgenden ist zu prüfen, ob die Vorinstanz die geltend gemachten Vorbringen des Beschwerdeführers zu Recht teils als unglaubhaft, teils als flüchtlingsrechtlich nicht relevant beurteilte. Dabei ist insbesondere der Frage nachzugehen, ob er im Zeitpunkt des Verlassens seines Heimatlandes aufgrund der geltend gemachten Reflexverfolgung im Fokus der türkischen Sicherheitskräfte stand und künftige Verfolgung auf türkischem Territorium zu befürchten hatte beziehungsweise heute weiterhin zu befürchten hat. Ob er dabei angesichts seiner geltend gemachten eigenen Verfolgungsgeschichte Nachstellung in seinem Heimatland zu befürchten hätte, kann im vorliegenden Fall letztlich offen gelassen werden, ist jedoch bei der nachfolgenden Prüfung vor dem Hintergrund der Reflexverfolgung nicht vollkommen unberücksichtigt zu lassen.</w:t>
      </w:r>
    </w:p>
    <w:p>
      <w:r>
        <w:rPr>
          <w:b/>
        </w:rPr>
        <w:t>E. 5.1</w:t>
      </w:r>
    </w:p>
    <w:p>
      <w:r>
        <w:t>Das Bundesverwaltungsgericht geht - in Anlehnung an die Praxis der ARK - davon aus, dass in der Türkei staatliche Repressalien gegen Fa­milienangehörige von politischen Aktivisten existieren, die als sogenannte Reflexverfolgung flüchtlingsrechtlich erheblich im Sinne von Art. 3 AsylG sein können. Die Wahrscheinlichkeit, Opfer einer Reflexverfolgung im dargelegten Sinne zu werden, ist nach weitergeführter Praxis der ARK vor allem gegeben, wenn nach einem flüchtigen Familienmitglied gefahndet wird und die Behörde Anlass zur Vermutung hat, jemand stehe mit dem Gesuchten in engem Kontakt. Das Risiko erhöht sich zusätzlich, wenn ein nicht unbedeutendes politisches Engagement der reflexverfolgten Person für illegale politische Organisationen hinzukommt beziehungsweise ihr seitens der Behörden unterstellt wird (vgl. EMARK 2005 Nr. 21 E. 10.1. S. 195, mit weiteren Hinweisen). Im Zuge des Reformprozesses zur Annäherung an die Europäische Union hat sich die Verfolgungspraxis der türkischen Behörden zwar insofern geändert, als Fälle, in denen Familienangehörige kurdischer Aktivisten gefoltert oder misshandelt wurden, abgenommen haben. Familienangehörige müssen aber unverändert mit Hausdurchsuchungen und kürzeren Festnahmen rechnen, die oft mit Be­schimpfungen und Schikane verbunden sind. Ein Regelverhalten der tür­kischen Behörden lässt sich jedoch nicht ausmachen; vielmehr hängt die Wahrscheinlichkeit einer Reflexverfolgung und deren Intensität stark von den konkreten Umständen des Einzelfalls ab. Feststellen lässt sich im­merhin, dass oftmals diejenigen Personen von einer Reflexverfolgung be­droht sind, die sich offen für politisch aktive Verwandte einsetzen. Dies wiederum heisst nicht, dass eine Reflexverfolgung ausschliesslich von ei­nem besonderen Engagement für politisch aktive Verwandte abhängt. Vielmehr kann hinter einer Reflexverfolgung auch nur die Absicht liegen, die gesamte Familie für Taten eines Familienmitglieds zu bestrafen, in der Vermutung, dessen politische Ansichten und Ziele würden von den enge­ren Angehörigen geteilt, beziehungsweise mit dem Zweck, sie so einzu­schüchtern, dass sie sich von oppositionellen kurdischen Gruppierungen fern halten (EMARK 2005 Nr. 21 E. 10.2.3. S. 199 f., mit weiteren Hinwei­sen). Es muss also aufgrund der Umstände des Einzelfalls ermittelt wer­den, ob die Furcht vor Verfolgung begründet ist. Die erlittene Verfolgung beziehungsweise die begründete Furcht vor zukünftiger (Reflex-)Verfol­gung muss ferner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zur allgemeinen Menschenrechtslage in der Türkei Urteil des Bundesverwaltungsgerichts E-6587/2007 vom 25. Oktober 2010 mit weiteren Hinweisen).</w:t>
      </w:r>
    </w:p>
    <w:p>
      <w:r>
        <w:rPr>
          <w:b/>
        </w:rPr>
        <w:t>E. 5.2</w:t>
      </w:r>
    </w:p>
    <w:p>
      <w:r>
        <w:t>Vorliegend steht fest, dass die beiden Brüder des Beschwerdeführers aufgrund ihrer aktiver Mitgliedschaft in der Organisation MLKP und der ih­nen aus diesem Grund in der Türkei drohenden Verfolgung in der Schweiz Asyl erhalten haben. Des Weiteren hinterlassen die Aussagen des Beschwerdeführers einen glaubhaften sowie substanziierten Eindruck. Die geltend gemachten Erlebnisse wurden anschaulich dargelegt, so dass ein glaubhafter Eindruck selbst erlebter Ereignisse entsteht. Sodann sind die angeführten zeitli­chen Angaben konform und fügen sich mühelos in den Gesamtkontext ein. Folglich werden die vom Beschwerdeführer geltend gemachten Ver­haftungen und Misshandlungen in Haft weder von der Vorinstanz noch vom Bundesverwaltungsgericht grundsätzlich bezweifelt. Im Übrigen ist als erstellt zu erachten, dass der Beschwerdeführer angesichts der beige­brachten Urteile vom (...) 2000 und vom (...) 2003 von den ihm zur Last gelegten Vorwürfen der Unterstützung einer illegalen Vereinigung aus Mangel an einschlägigen Beweisen respektive wegen Verjährung freigesprochen wurde. Aufgrund des Gesagten ist allerdings festzuhalten, dass der Beschwerdeführer den Behörden in einem nicht irrelevanten politischen Kontext - Engagement für eine illegale politische Organisation - bereits aufgefallen ist. Des Weiteren gab der Beschwerdeführer zu Protokoll, dass er seit der Ausreise seiner Brüder im Jahre 2003 bis zu seiner eigenen Ausreise am 17. Februar 2007 sowohl seitens der Sicherheitskräfte als auch nationalistischer Banden fortwährend Repressalien unterworfen gewesen sei. Die von der Vorinstanz aufgezeigten vermeintlichen Widersprüche konnten dabei in der Rechtmitteleingabe plausibel erklärt werden (vgl. Beschwerdeeinabe S. 9 sowie A2/10 S. 5, A13/16 S. 6 und S. 9). Insbesondere ist ein Widerspruch hinsichtlich der Urheber der gegen den Beschwerdeführer erhobenen Drohungen nicht ersichtlich, da der Kern der Aussage in allen zu Protokoll gegebenen Schilderungen des Sachverhalts erhalten bleibt, nämlich, dass der Beschwerdeführer seit der Ausreise seiner Brüder und bis zu seiner eigenen Ausreise seitens der Sicherheitskräfte permanent behelligt und mit dem Tod bedroht worden sei. Ein Unterbruch des zeitlichen sowie sachlichen Kausalzusammenhangs zwischen der (Reflex-)Verfolgung und Flucht ist daher zu verneinen. Schliesslich handelt es sich beim - vom BFM als nachgeschoben qualifizierten - Vorbringen des Beschwerdeführers, sein ehemaliger Arbeitgeber sei von der Polizei aufgesucht und unter Druck gesetzt worden, um eine nur mittelbar handlungsbezogene Schilderung in seiner Verfolgungsgeschichte und nicht um ein zentrales Element der geltend gemachten Verfolgung. Dass der Beschwerdeführer diesen Punkt nicht bereits in der EVZ-Befragung erwähnt hat, lässt jedenfalls nicht seine gesamten Vorbringen als unglaubhaft erscheinen. Folglich liegen konkrete Indizien vor, welche den Eintritt einer aus einem der vom Gesetz aufgezählten Motive erfolgenden Benachteiligung als wahrscheinlich und dementsprechend die Furcht davor als realistisch und nachvollziehbar erscheinen lassen. Vor dem Hintergrund vorstehender Erwägungen und in Würdigung der Gesamtumstände geht das Bundesverwaltungsgericht davon aus, dass im heutigen Zeitpunkt mit über­wiegender Wahrscheinlichkeit angenommen werden muss, dass es sich beim Beschwerdeführer um eine reflexverfolgte Person handelt, der bei einer Rückkehr in die Türkei ernsthafte Nachteile asylrechtlich relevanten Ausmasses drohen würden, und dass eine begründete Furcht vor Verfolgung im Heimatland besteht.</w:t>
      </w:r>
    </w:p>
    <w:p>
      <w:r>
        <w:rPr>
          <w:b/>
        </w:rPr>
        <w:t>E. 6</w:t>
      </w:r>
    </w:p>
    <w:p>
      <w:r>
        <w:t>Zusammenfassend ergibt sich somit, dass die Voraussetzungen von Art. 3 sowie Art. 7 AsylG erfüllt sind. Die Vorinstanz hat das Asylgesuch des Beschwerdeführers zu Unrecht abgewiesen. Die Beschwerde ist somit gutzuheissen. Die Verfügung des BFM ist aufzuheben und die Vorinstanz ist anzuweisen, dem Beschwerdeführer Asyl zu gewähren.</w:t>
      </w:r>
    </w:p>
    <w:p>
      <w:r>
        <w:rPr>
          <w:b/>
        </w:rPr>
        <w:t>E. 7.1</w:t>
      </w:r>
    </w:p>
    <w:p>
      <w:r>
        <w:t>Bei diesem Ausgang des Verfahrens sind keine Verfah­renskosten auf­zuerlegen (Art. 63 Abs. 1 und 2 VwVG).</w:t>
      </w:r>
    </w:p>
    <w:p>
      <w:r>
        <w:rPr>
          <w:b/>
        </w:rPr>
        <w:t>E. 7.2</w:t>
      </w:r>
    </w:p>
    <w:p>
      <w:r>
        <w:t>Bei diesem Ausgang des Verfahrens ist von einem Obsiegen des Be­schwerdeführers auszugehen. Es ist ihm in Anwendung von Art. 64 Abs. 1 VwVG eine Parteientschädigung für ihm erwachsene notwendige Vertre­tungskosten zuzusprechen. Der Rechtsvertreter reichte mit Eingabe vom 22. Juli 2009 eine Kosten­note für die Verfahrensdauer vom 15. Dezember 2008 bis zum 22. Juli 2009 ein, gemäss welcher er einen Aufwand von insgesamt 9.83 Stunden zu einem Stundenansatz von Fr. 240.- und Auslagen in der Höhe von Fr. 125.50 geltend machte. Ferner wurde eine ergänzende Kostennote mit Eingabe vom 24. November 2011 zu den Akten gereicht, mit welcher für die Dauer des Verfahrens vom 24. August 2009 bis zum 24. November 2011 ein Aufwand von insgesamt 3.33 Stunden zu einem Stundenansatz von Fr. 240.- und Auslagen in der Höhe von Fr. 44.- geltend gemacht wurden. Der in Rechnung gestellte Aufwand erscheint angemessen, weshalb dem Beschwerdeführer unter Berücksichtigung der Bemessungsgrundsätze nach Art. 7 ff. des Reglements vom 21. Februar 2008 über die Kosten und Entschädigungen vor dem Bundesverwaltungsgericht (VGKE, SR 173.320.2) für das vorliegende Beschwerdeverfahren eine Parteientschädigung in der Höhe von Fr. 3'583.30 (inkl. Auslagen und Mehrwertsteuer) zuzusprechen und vom BFM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