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E-2559/2016 vom 5. Juli 2017</w:t>
      </w:r>
    </w:p>
    <w:p>
      <w:r>
        <w:t>Bundesverwaltungsgericht, 2017-07-05, DE</w:t>
      </w:r>
    </w:p>
    <w:p>
      <w:r>
        <w:rPr>
          <w:b/>
        </w:rPr>
        <w:t xml:space="preserve">Quelle: </w:t>
      </w:r>
      <w:r>
        <w:t>https://mcp.opencaselaw.ch/entscheid/bvger_E-2559_2016</w:t>
      </w:r>
    </w:p>
    <w:p>
      <w:r>
        <w:t>FR: TAF E-2559/2016 du 5 juillet 2017</w:t>
      </w:r>
    </w:p>
    <w:p>
      <w:r>
        <w:t>IT: TAF E-2559/2016 del 5 luglio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w:t>
      </w:r>
    </w:p>
    <w:p>
      <w:r>
        <w:rPr>
          <w:b/>
        </w:rPr>
        <w:t>E. 1.2</w:t>
      </w:r>
    </w:p>
    <w:p>
      <w:r>
        <w:t>Das Verfahren richtet sich nach dem VwVG, soweit das VGG und das AsylG nichts anderes bestimmen (vgl. Art. 37 VGG,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mithin einzutreten.</w:t>
      </w:r>
    </w:p>
    <w:p>
      <w:r>
        <w:rPr>
          <w:b/>
        </w:rPr>
        <w:t>E. 2</w:t>
      </w:r>
    </w:p>
    <w:p>
      <w:r>
        <w:t>Die Kognition des Bundesverwaltungsgerichts und die zulässigen Rügen richten sich im vorliegenden Verfahren nach Art. 106 Abs. 1 AsylG (vgl. BVGE 2014/26 E. 5).</w:t>
      </w:r>
    </w:p>
    <w:p>
      <w:r>
        <w:rPr>
          <w:b/>
        </w:rPr>
        <w:t>E. 3.1</w:t>
      </w:r>
    </w:p>
    <w:p>
      <w:r>
        <w:t>Die Wiedererwägung im Verwaltungsverfahren ist ein Rechtsbehelf, auf dessen Behandlung durch die verfügende Behörde grundsätzlich kein Anspruch besteht. Gemäss herrschender Lehre und ständiger Praxis des Bundesgerichts wird jedoch aus Art. 29 BV unter bestimmten Voraussetzungen ein verfassungsmässiger Anspruch auf Wiedererwägung abgeleitet (vgl. BVGE 127 I 133 E. 6, m.w.H.). Demnach ist auf ein Wiedererwägungsgesuch einerseits dann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neu beurteilt wird (vgl. BVGE 2010/27 E. 2.1). Im Asylgesetz sind die entsprechenden Tatbestände in den Art. 111b und 111c AsylG kodifiziert (vgl. zum Ganzen BVGE 2014/39). Andererseits können auch Revisionsgründe einen Anspruch auf Wiedererwägung begründen, sofern sie sich auf eine rechtskräftige Verfügung beziehen, die entweder unangefochten geblieben ist oder deswegen niemals einer materiellen Prüfung unterzogen wurde, weil das angehobene Beschwerdeverfahren mit einem formellen Urteil endete. Ein solchermassen als qualifiziertes Wiedererwägungsgesuch zu bezeichnendes Rechtsmittel ist grundsätzlich nach den Regeln des Revisionsverfahrens gemäss Art. 66 ff. VwVG zu behandeln (vgl. BVGE 2013/22 E. 5.4; Entscheide und Mitteilungen der Schweizerischen Asylrekurskommission [EMARK] 2003 Nr. 17 E. 2a, 1998 Nr. 8).</w:t>
      </w:r>
    </w:p>
    <w:p>
      <w:r>
        <w:rPr>
          <w:b/>
        </w:rPr>
        <w:t>E. 3.2</w:t>
      </w:r>
    </w:p>
    <w:p>
      <w:r>
        <w:t>Die Wiedererwägung ist nicht beliebig zulässig. Sie darf nicht dazu dienen, die Rechtskraft von Verwaltungsentscheiden immer wieder infrage zu stellen oder die Fristen für die Ergreifung von Rechtsmitteln zu umgehen. 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(vgl. Art. 66 Abs. 3 VwVG und EMARK 2000 Nr. 24 E. 5b).</w:t>
      </w:r>
    </w:p>
    <w:p>
      <w:r>
        <w:rPr>
          <w:b/>
        </w:rPr>
        <w:t>E. 4.1</w:t>
      </w:r>
    </w:p>
    <w:p>
      <w:r>
        <w:t>Gestützt auf die Überlegungen, dass keine Ausweispapiere eingereicht worden seien, das ferner eine Knochenaltersanalyse auf ein Alter des Beschwerdeführers von 19 Jahren oder mehr schliessen lasse, und dass schliesslich dessen Aussagen zu seinem Alter ([...]) vage und widersprüchlich seien, ging die Vorinstanz davon aus, die behauptete Minderjährigkeit sei nicht glaubhaft gemacht worden (vgl. A8/11 S. 7). Mit Verfügung vom 12. Januar 2016 trat die Vorinstanz auf das Asylgesuch des Beschwerdeführers nicht ein und ordnete seine Überstellung nach Ungarn an, welches im Rahmen der Dublin-Bestimmungen für die Behandlung des Asylgesuchs zuständig sei. Diese Verfügung ist rechtskräftig geworden, nachdem das Gericht mit Urteil vom 2. Februar 2016 auf eine Beschwerde nicht eingetreten ist. Unter anderem hielt das SEM in seinem Entscheid ausdrücklich fest, einer Überstellung nach Ungarn stünden weder völkerrechtliche Bestimmungen noch humanitäre Gesichtspunkte entgegen.</w:t>
      </w:r>
    </w:p>
    <w:p>
      <w:r>
        <w:rPr>
          <w:b/>
        </w:rPr>
        <w:t>E. 4.2</w:t>
      </w:r>
    </w:p>
    <w:p>
      <w:r>
        <w:t>Soweit mit dem Wiedererwägungsgesuch eine afghanische Tazkara eingereicht und geltend gemacht wird, es bestünden damit Gründe, die Einschätzung der nicht glaubhaft gewordenen Minderjährigkeit in Wiedererwägung zu ziehen, sind die Erwägungen der Vorinstanz in der angefochtenen Verfügung vom 30. März 2016, sowie erneut in der Vernehmlassung vom 12. Mai 2016, zu bestätigen. Das Gericht schliesst sich den Überlegungen der Vorinstanz angesichts der angeführten widersprüchlichen und unsubstantiierten Aussagen an. Die Rüge, die Tazkara sei nicht gewürdigt worden (Beschwerde S. 4), erweist sich als unzutreffend; die Vorinstanz hat sich in der angefochtenen Verfügung mit dem Beweiswert dieses Dokuments hinlänglich befasst. Dem Vorbringen, für den Beschwerdeführer hätte richtigerweise Art. 8 Dublin-III-VO Anwendung finden und die Zuständigkeit der Schweiz für die Behandlung seines Asylgesuchs festgestellt werden müssen, kann mithin nicht gefolgt werden; an der - rechtskräftig gewordenen - Feststellung, für das Asylverfahren des Beschwerdeführers sei Ungarn zuständig, hat die Vorinstanz somit im Wiedererwägungsverfahren zu Recht festgehalten.</w:t>
      </w:r>
    </w:p>
    <w:p>
      <w:r>
        <w:rPr>
          <w:b/>
        </w:rPr>
        <w:t>E. 4.3</w:t>
      </w:r>
    </w:p>
    <w:p>
      <w:r>
        <w:t>Zu prüfen bleibt, ob Wiedererwägungsgründe bestehen betreffend die Feststellung, einer Überstellung nach Ungarn stünden keine völkerrechtlichen oder anderweitigen Hindernisse entgegen. Gegenstand des vorliegenden Beschwerdeverfahrens bildet die Frage, ob das SEM zu Recht mit Verfügung vom 30. März 2016 das Wiederwägungsgesuch abgewiesen und die am 12. Januar 2016 angeordnete Überstellung nach Ungarn als rechtskräftig und vollstreckbar bezeichnet hat. Für das Bundesverwaltungsgericht ist diesbezüglich die im Zeitpunkt der Urteilsfällung bestehende Aktenlage massgeblich. Die angefochtene Verfügung des SEM muss sich mit andern Worten auch gegenüber den im Verlauf des Beschwerdeverfahrens entstandenen Tatsachen und vorgebrachten Beweismitteln zum heutigen Zeitpunkt bewähren (vgl. BVGE 2012/21 E. 5).</w:t>
      </w:r>
    </w:p>
    <w:p>
      <w:r>
        <w:rPr>
          <w:b/>
        </w:rPr>
        <w:t>E. 5</w:t>
      </w:r>
    </w:p>
    <w:p>
      <w:r>
        <w:t>Die im Dublin-Kontext relevante Lage, wie sie sich für Asylsuchende darstellt, insbesondere für jene, die in Anwendung der Dublin-III-VO nach Ungarn überstellt werden, hat sich in den letzten Monaten beziehungsweise Jahren in rechtserheblicher Weise verändert. Das Bundesverwaltungsgericht hat die Entwicklung der Situation im Urteil D-7853/2015 vom 31. Mai 2017 (vorgesehen zur Publikation als Referenzurteil) eingehend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6</w:t>
      </w:r>
    </w:p>
    <w:p>
      <w:r>
        <w:t>Diese Überlegungen sind auch im vorliegenden Verfahren einschlägig. Angesichts der obigen Ausführungen geht das Gericht davon aus, dass sich die Situation für Asylsuchende in Ungarn, insbesondere für jene, die in Anwendung der Dublin-III-VO nach Ungarn überstellt werden, seit der Fällung des Dublin-Nichteintretensentscheides vom 12.Januar 2016 in relevanter Weise verändert hat. Die Einschätzung des SEM, eine wesentliche Veränderung der Sachlage liege nicht vor und die Vorbringen des Beschwerdeführers seien wiedererwägungsrechtlich nicht relevant, lässt sich daher zum heutigen Zeitpunkt nicht mehr aufrechterhalten. Die angefochtene Verfügung ist daher aufzuheben und die Sache ist zur vollständigen Sachverhaltsfeststellung in Sinne der vorstehenden Ausführungen sowie zur neuen Entscheidung an die Vorinstanz zurückzuweisen. Die Beschwerde ist demnach gutzuheissen.</w:t>
      </w:r>
    </w:p>
    <w:p>
      <w:r>
        <w:rPr>
          <w:b/>
        </w:rPr>
        <w:t>E. 7.1</w:t>
      </w:r>
    </w:p>
    <w:p>
      <w:r>
        <w:t>Bei diesem Ausgang des Verfahrens sind keine Verfahrenskosten zu erheben (Art. 63 Abs. 1 und 2 VwVG).</w:t>
      </w:r>
    </w:p>
    <w:p>
      <w:r>
        <w:rPr>
          <w:b/>
        </w:rPr>
        <w:t>E. 7.2</w:t>
      </w:r>
    </w:p>
    <w:p>
      <w:r>
        <w:t>Der ganz oder teilweise obsiegenden Partei kann von der Beschwerdeinstanz von Amtes wegen oder auf Begehren eine Entschädigung für ihr erwachsene notwendige und verhältnismässig hohe Kosten zugesprochen werden (Art. 64 Abs. 1 VwVG). Der Beschwerdeführer liess mit der Replikeingabe vom 2. Juni 2016 eine Kostennote seines Rechtsvertreters für die Aufwendungen im vorliegenden Beschwerdeverfahren einreichen. Diese Kostennote weist einen Arbeitsaufwand von 6.75 Stunden, ausmachend Fr. 1'350.-, zuzüglich Auslagen von Fr. 30.- aus, was als angemessen zu erachtet ist; der geltend gemachte Stundenansatz des Rechtsvertreters ist reglementskonform (vgl. Art. 10 Abs. 2 des Reglements vom 21. Februar 2008 über die Kosten und Entschädigungen vor dem Bundesverwaltungsgericht [VGKE, SR 173.320.2]). Dem Beschwerdeführer ist demnach zu Lasten des SEM eine Parteientschädigung von insgesamt Fr. 1'380.-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