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E-2556/2013 vom 28. Mai 2013</w:t>
      </w:r>
    </w:p>
    <w:p>
      <w:r>
        <w:t>Bundesverwaltungsgericht, 2013-05-28, DE</w:t>
      </w:r>
    </w:p>
    <w:p>
      <w:r>
        <w:rPr>
          <w:b/>
        </w:rPr>
        <w:t xml:space="preserve">Quelle: </w:t>
      </w:r>
      <w:r>
        <w:t>https://mcp.opencaselaw.ch/entscheid/bvger_E-2556_2013</w:t>
      </w:r>
    </w:p>
    <w:p>
      <w:r>
        <w:t>FR: TAF E-2556/2013 du 28 mai 2013</w:t>
      </w:r>
    </w:p>
    <w:p>
      <w:r>
        <w:t>IT: TAF E-2556/2013 del 28 maggio 2013</w:t>
      </w:r>
    </w:p>
    <w:p>
      <w:pPr>
        <w:pStyle w:val="Heading2"/>
      </w:pPr>
      <w:r>
        <w:t>Regeste</w:t>
      </w:r>
    </w:p>
    <w:p>
      <w:r>
        <w:t>Asylgesuch aus dem Ausland und Einreisebewilligung</w:t>
      </w:r>
    </w:p>
    <w:p>
      <w:pPr>
        <w:pStyle w:val="Heading2"/>
      </w:pPr>
      <w:r>
        <w:t>Erwägungen</w:t>
      </w:r>
    </w:p>
    <w:p>
      <w:r>
        <w:rPr>
          <w:b/>
        </w:rPr>
        <w:t>E. 1</w:t>
      </w:r>
    </w:p>
    <w:p>
      <w:r>
        <w:t>1.1 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Asyls - in der Regel, wie auch vorliegend -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Das vorliegende Urteil ergeht gestützt auf die Übergangsbestimmung zur Änderung des Asylgesetzes vom 28. September 2012 (in Kraft getreten am 29. September 2012), wonach für Asylgesuche, die im Ausland vor dem Inkrafttreten der Änderung vom 28. September 2012 gestellt worden sind, die Artikel 12, 19, 20, 41 Abs. 2, 52 und 68 in der bisherigen Fassung des Asylgesetzes Geltung haben.</w:t>
      </w:r>
    </w:p>
    <w:p>
      <w:r>
        <w:rPr>
          <w:b/>
        </w:rPr>
        <w:t>E. 1.4</w:t>
      </w:r>
    </w:p>
    <w:p>
      <w:r>
        <w:t>Vorliegend steht der genaue Zeitpunkt der Eröffnung der angefochtenen Verfügung nicht fest; sie erfolgte mit Schreiben der Schweizerischen Vertretung in Colombo vom 27. März 2013 und konnte somit nicht vor jenem Datum stattgefunden haben. Damit steht, ohne das genaue Eröffnungsdatum zu kennen, fest, dass die vom 7. April 2013 datierte, der Schweizerischen Vertretung gemäss den Akten am 24. April 2013 zugegangene Beschwerde fristgerecht erfolgt ist (Art. 108 Abs. 1 AsylG). Sie ist auch formgerecht eingereicht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 vorbehältlich der nachfolgenden Erwägungen - einzutreten.</w:t>
      </w:r>
    </w:p>
    <w:p>
      <w:r>
        <w:rPr>
          <w:b/>
        </w:rPr>
        <w:t>E. 2</w:t>
      </w:r>
    </w:p>
    <w:p>
      <w:r>
        <w:t>Mit Beschwerde können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nachfolgend aufgezeigt, handelt es sich vorliegend um eine solche, weshalb der Beschwerdeentscheid nur summarisch zu begründen ist (Art. 111a Abs. 2 AsylG).</w:t>
      </w:r>
    </w:p>
    <w:p>
      <w:r>
        <w:rPr>
          <w:b/>
        </w:rPr>
        <w:t>E. 4</w:t>
      </w:r>
    </w:p>
    <w:p>
      <w:r>
        <w:t>Gestützt auf Art. 111a Abs. 1 AsylG wurde vorliegend auf die Durchführung eines Schriftenwechsels verzichtet.</w:t>
      </w:r>
    </w:p>
    <w:p>
      <w:r>
        <w:rPr>
          <w:b/>
        </w:rPr>
        <w:t>E. 5</w:t>
      </w:r>
    </w:p>
    <w:p>
      <w:r>
        <w:t>5.1 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AsylG).</w:t>
      </w:r>
    </w:p>
    <w:p>
      <w:r>
        <w:rPr>
          <w:b/>
        </w:rPr>
        <w:t>E. 5.2</w:t>
      </w:r>
    </w:p>
    <w:p>
      <w:r>
        <w:t>Das BFM kann ein im Ausland gestelltes Asylgesuch ablehnen, wenn die asylsuchenden Personen keine Verfolgung glaubhaft machen können oder ihnen die Aufnahme in einem Drittstaat zugemutet werden kann (vgl. Art. 3, Art. 7 und Art. 52 Abs. 2 AsylG). Gemäss Art. 20 Abs. 2 AsylG bewilligt das BFM Asylsuchenden die Einreise zur Abklärung des Sachverhaltes, wenn ihnen nicht zugemutet werden kann, im Wohnsitz- oder Aufenthaltsstaat zu bleiben oder in ein anderes Land auszureisen.</w:t>
      </w:r>
    </w:p>
    <w:p>
      <w:r>
        <w:rPr>
          <w:b/>
        </w:rPr>
        <w:t>E. 5.3</w:t>
      </w:r>
    </w:p>
    <w:p>
      <w:r>
        <w:t>Bei diesem Entscheid sind die Voraussetzungen zur Erteilung einer Einreisebewilligung grundsätzlich restriktiv zu handhaben,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die weiterhin aktuelle Praxis gemäss Entscheidungen und Mitteilungen der [vormaligen] Schweizerischen Asylrekurskommission [EMARK] 1997 Nr. 15, insbesondere S. 131 ff.). Ausschlaggebend für die Erteilung der Einreisebewilligung ist dabei die Schutzbedürftigkeit der betroffenen Personen (vgl. EMARK 1997 Nr. 15 E. 2c S. 130), mithin die Prüfung der Fragen, ob eine Gefährdung im Sinne von Art. 3 AsylG glaubhaft gemacht wird und ob der Verbleib am Aufenthaltsort für die Dauer der Sachverhaltsabklärung zugemutet werden kann. 6.Mit der Vorinstanz ist festzuhalten, dass der Beschwerdeführer in absehbarer Zukunft keine ernsthaften Nachteile durch Verfolgungsmassnahmen der sri-lankischen Sicherheitskräfte zu befürchten hat, zumal er kein entsprechendes politisches Profil aufweist und er wegen deren Niederlage insbesondere auch von den LTTE nichts mehr zu befürchten hat, wobei der Beschwerdeführer selber einräumt, seit 2010 keine Probleme mehr zu haben. Es ist hierzu auf die zutreffenden Ausführungen der Vorinstanz zu verweisen (vgl. Bst. B). Hinzuzufügen ist, dass der Beschwerdeführer insbesondere als Sohn eines loyalen Polizisten und angesichts des Umstands, dass er sich einer Zwangsrekrutierung durch die LTTE durch seine Ausreise nach Qatar entzogen hat, ganz entschieden kein Gefährdungsprofil aufweist. Auf Beschwerdeebene bringt er nichts vor, was geeignet wäre, diese Einschätzung umzustossen, zumal er lediglich seine bisherigen Vorbringen bekräftigt und weitere noch weiter zurückliegende Beeinträchtigungen durch den Krieg zwischen der Armee und den LTTE vorbringt, aber keine Behelligungen seit 2010 geltend macht. Er bringt denn auch nicht vor schutzbedürftig zu sein, sondern weist auf die Verluste (betreffend sein Hab und Gut und insbesondere seine Ausbildung und damit verbunden seine Verdienstmöglichkeiten) hin, die er und seine Familie durch den Krieg erlitten hätten, und begründet sein Gesuch vornehmlich mit wirtschaftlichen Gründen. Mithin erübrigt es sich, auf die Beschwerdeschrift und ihre Beilagen näher einzugehen. Nach dem Gesagten hat das BFM die Schutzbedürftigkeit des Beschwerdeführers zu Recht verneint. Der Vollständigkeit halber sei angemerkt, dass der Beschwerdeführer nicht ansatzweise eine besondere Beziehungsnähe zur Schweiz dargelegt hat, hingegen mit Qatar, wo er bereits zweimal vor den LTTE Zuflucht gefunden hat und er von 2001 bis 2005 und 2007 bis 2010 gewohnt und gearbeitet hat, über eine zumutbare Zufluchtsalternative in einem Drittstaat mit grösserer Beziehungsnähe verfügt. Das Gesuch um Bewilligung der Einreise wäre allein schon aus diesem Grund abzulehnen. 7.Auf den Eventualantrag, dem Beschwerdeführer sei eine Arbeitsbewilligung zu erteilen, ist nicht einzutreten, da es sich bei einer Arbeitsbewilligung um eine Verfügung handelt, welche nicht im Asylverfahren ergeht und nicht Gegenstand der angefochtenen Verfügung bildet. 8.Aus diesen Erwägungen ergibt sich, dass die angefochtene Verfügung Bundesrecht nicht verletzt, den rechtserheblichen Sachverhalt richtig und vollständig feststellt und angemessen ist (Art. 106 AsylG). Die Beschwerde ist demnach abzuweisen. 9.Bei diesem Ausgang des Verfahrens wären die Kosten gemäss Art. 63 Abs. 1 VwVG dem Beschwerdeführer aufzuerlegen; aus verwaltungsökonomischen Gründen wird indessen in Anwendung von Art. 6 des Reglements vom 21. Februar 2008 über die Kosten und Entschädigungen vor dem Bundesverwaltungsgericht (VGKE, SR 173.320.2) auf das Erheben von Verfahrenskosten verzichtet.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