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E-2553/2011 vom 10. Juni 2011</w:t>
      </w:r>
    </w:p>
    <w:p>
      <w:r>
        <w:t>Bundesverwaltungsgericht, 2011-06-10, DE</w:t>
      </w:r>
    </w:p>
    <w:p>
      <w:r>
        <w:rPr>
          <w:b/>
        </w:rPr>
        <w:t xml:space="preserve">Quelle: </w:t>
      </w:r>
      <w:r>
        <w:t>https://mcp.opencaselaw.ch/entscheid/bvger_E-2553_2011</w:t>
      </w:r>
    </w:p>
    <w:p>
      <w:r>
        <w:t>FR: TAF E-2553/2011 du 10 juin 2011</w:t>
      </w:r>
    </w:p>
    <w:p>
      <w:r>
        <w:t>IT: TAF E-2553/2011 del 10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Nach Art. 108 Abs. 1 AsylG ist eine Beschwerde innerhalb von 30 Tage nach Eröffnung der anzufechtenden Verfügung einzureichen. Verfügungen sind gemäss Art. 34 Abs. 1 VwVG der Partei schriftlich zu eröffnen; die Frist wird mit der Zustellung der Verfügung ausgelöst. Die Beweislast für die Tatsache und den Zeitpunkt der Eröffnung liegt grundsätzlich bei der Verwaltung (BGE 103 V 63, S. 65 mit weiteren Hinweisen). Eine Eröffnungsbestätigung liegt im vorliegenden Verfahren nicht in den Akten. Der Rechtsvertreter des Beschwerdeführers erklärte in der Beschwerde vom 4. Mai 2011, dass der Entscheid dem Beschwerdeführer am 11. April 2011 eröffnet worden sei. Eine Kopie der Verfügung ist indes - gemäss Sendebericht des Telefaxes des BFM - am 4. April 2011 an die den Beschwerdeführer vertretenden Rechtsberatungsstelle gesandt worden. Die Beschwerde vom 4. Mai 2011 wurde daher fristgerecht eingereicht.</w:t>
      </w:r>
    </w:p>
    <w:p>
      <w:r>
        <w:rPr>
          <w:b/>
        </w:rPr>
        <w:t>E. 2.2</w:t>
      </w:r>
    </w:p>
    <w:p>
      <w:r>
        <w:t>Die Beschwerde ist zudem formgerecht abgefasst.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folglich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4.2</w:t>
      </w:r>
    </w:p>
    <w:p>
      <w:r>
        <w:t>Das Bundesamt kann ein im Ausland gestelltes Asylgesuch ablehnen, wenn die asylsuchende Person keine Verfolgung glaubhaft machen kann (Art. 3 und Art.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dazu die in diesem Zusammenhang die nach wie vor massgeblichen Entscheidungen und Mitteilungen der Schweizerischen Asylrekurskommission [EMARK] 1997 Nr. 15 E. 2e-g; 2005 Nr. 19 E. 4; 2004 Nr. 21 E. 2; 2004 Nr. 20 E. 3b).</w:t>
      </w:r>
    </w:p>
    <w:p>
      <w:r>
        <w:rPr>
          <w:b/>
        </w:rPr>
        <w:t>E. 5.1</w:t>
      </w:r>
    </w:p>
    <w:p>
      <w:r>
        <w:t>Das BFM geht in seiner abweisenden Verfügung vom 16. März 2011 davon aus, dass der Beschwerdeführer keines Schutzes bedürfe. Die derzeit hängigen Verfahren des Beschwerdeführers würden aus rechtsstaatlicher Sicht in korrekter Weise vonstattengehen. Die erlebten Misshandlungen würden zudem das Strafverfahren nicht grundsätzlich als illegitim erscheinen lassen. Im Übrigen stehe ihm neben dem innerstaatlichen Rechtsweg auch der Gang an den Europäischen Gerichtshof für Menschenrechte (EGMR) offen, falls die Verfahren nicht den Prinzipien der Konvention vom 4. November 1950 zum Schutze der Menschenrechte und Grundfreiheiten (EMRK, SR 0.101) entsprechen würden. Darüber hinaus stehe dem Beschwerdeführer als Schutzalternative im Sinne von Art. 52 AsylG ein Asylverfahren in Kroatien offen.</w:t>
      </w:r>
    </w:p>
    <w:p>
      <w:r>
        <w:rPr>
          <w:b/>
        </w:rPr>
        <w:t>E. 5.2</w:t>
      </w:r>
    </w:p>
    <w:p>
      <w:r>
        <w:t>Demgegenüber vertritt der Rechtsvertreter des Beschwerdeführers die Meinung, dass der Beschwerdeführer aufgrund der drohenden Bestätigung des Urteils des Kassationshofs mit einer sofortigen Verhaftung und dem Strafvollzug und damit mit schweren Nachteilen im Sinne von Art. 3 AsylG rechnen müsse. Eine inländische Fluchtalternative sowie ein Asylausschlussgrund bestünden nicht. Dem Beschwerdeführer sei daher das Asyl und die Einreise in die Schweiz zu gewähren.</w:t>
      </w:r>
    </w:p>
    <w:p>
      <w:r>
        <w:rPr>
          <w:b/>
        </w:rPr>
        <w:t>E. 6.1</w:t>
      </w:r>
    </w:p>
    <w:p>
      <w:r>
        <w:t>Das Bundesverwaltungsgericht geht davon aus, dass vorliegend begründete Hinweise - insbesondere bezüglich des Verfahrens vor dem Kassationshof - auf eine Verfolgung im Sinne von Art. 3 AsylG vorliegen. Hinsichtlich des von der Vorinstanz verneinten Kausalzusammenhangs ist anzufügen, dass die Ereignisse der Jahre 2001 bis 2003 tatsächlich weit zurückliegen; doch ist davon auszugehen, dass diese Verwicklungen, die den Beschwerdeführer als notorischen Teilnehmer von Kundgebungen zeigen, in die aktuelle türkische Urteilsbegründung einfliessen werden. Von daher gesehen können sie nicht ganz ausser Acht gelassen werden.</w:t>
      </w:r>
    </w:p>
    <w:p>
      <w:r>
        <w:rPr>
          <w:b/>
        </w:rPr>
        <w:t>E. 6.2</w:t>
      </w:r>
    </w:p>
    <w:p>
      <w:r>
        <w:t>Dem Rechtsvertreter ist zuzustimmen, wenn er ausführt, das BFM stütze sich in seinen Erwägungen alleine auf die Ausführungen und Schlussfolgerungen der Justizbehörden in B._______ und in C._______.</w:t>
      </w:r>
    </w:p>
    <w:p>
      <w:r>
        <w:rPr>
          <w:b/>
        </w:rPr>
        <w:t>E. 6.2.1</w:t>
      </w:r>
    </w:p>
    <w:p>
      <w:r>
        <w:t>Das BFM geht gestützt auf das Urteil des 11. Gerichts vom (...) 2010 davon aus, dass eine direkte Verbindung zwischen der ESP und der MLKP bestehe. Eine aktive Mitgliedschaft in der ESP sei daher wie mit einer Mitgliedschaft in der (illegalen) MLKP vergleichbar, eine strafrechtliche Verfolgung folglich im Kern als rechtsstaatlich legitim zu betrachten. Der Beschwerdeführer gab zu Protokoll, dass er an Veranstaltungen der ESP - wie die Kundgebung vom (...) 2004 - und des Menschenrechtsvereins IHD teilnehme (A3, S. 5). Die ESP sei legal, aber der Staat versuche, sie in Verbindung mit der MLKP zu bringen. Seiner Meinung nach habe die ESP jedoch keine Beziehung zur MLKP (A3, S. 6). Das erstinstanzliche Urteil vom (...) 2010 stellte fest, dass die ESP die erwähnte Kundgebung organisiert habe. Erst in darauf folgenden Erwägungen kam das Gericht zum Schluss, dass die ESP im Namen der Terrororganisation MLKP aktiv sei, und verurteilte den Beschwerdeführer - auch wenn dieser nicht Mitglied einer Terrororganisation sei - wegen "Mitgliedschaft in einer Terrororganisation" und "Propaganda zugunsten einer illegalen Terrororganisation" zu insgesamt sieben Jahren und sechs Monaten Gefängnis. Es ist offensichtlich, dass die Vorinstanz die Meinung des Beschwerdeführers völlig ausser Acht gelassen hat, dass es keine Beziehung zwischen den Parteien gebe.</w:t>
      </w:r>
    </w:p>
    <w:p>
      <w:r>
        <w:rPr>
          <w:b/>
        </w:rPr>
        <w:t>E. 6.2.2</w:t>
      </w:r>
    </w:p>
    <w:p>
      <w:r>
        <w:t>Ferner erklärte das BFM, der Beschwerdeführer hätte sich bei seiner Festnahme am (...) 2004 in einer Gruppe von Personen befunden, bei denen man Eisenstangen, Steinschleudern, Glaskugeln, Plakate und Steine gefunden habe. Fotoaufnahmen der türkischen Behörden würden dies bezeugen. Gemäss der türkischen Aktenlage habe sich der Beschwerdeführer darüber hinaus der Festnahme widersetzt, von seinem Schweigerecht Gebrauch gemacht und das Essen sowie einen Krankenhausbesuch verweigert. Damit habe er organisationstypisches Handeln an den Tag gelegt, das den versierten Politaktivisten auszeichne. Zudem führe dies zur Annahme, der Beschwerdeführer habe bei seiner Festnahme keine erheblichen psychischen Misshandlungen erlebt. Im Urteil vom (...) 2010 werden einzelne Teilnehmer namentlich genannt, die diverse Gegenstände (Halstücher, Glasperlen, Steinschleudern oder Ähnliches) während der Veranstaltung vom (...) 2004 auf sich getragen haben sollen; der Name des Beschwerdeführers fehlt an dieser Stelle (vgl. A1, Beweismittelmappe, Übersetzung Seite 3 f.). Die vom BFM erwähnten Fotoaufnahmen der türkischen Behörden, die zu einem objektiveren Bild der Vorkommnisse führen könnten, sind in den Akten nicht vorhanden. Der Beschwerdeführer bestreitet sogar, dass es Beweise für eine gewalttätige Ausschreitung seinerseits gebe (A3, S. 6). Hinsichtlich der Verweigerung der Angeklagten, bei der Festnahme Personalien aufnehmen zu lassen, ins Krankenhaus zu gehen oder auszusagen, hält das Urteil vom (...) 2010 fest - was von der Vorinstanz übernommen wurde -, dass diese Handlungen organisationsbezogene Handlungsweisen angenommen hätten.</w:t>
      </w:r>
    </w:p>
    <w:p>
      <w:r>
        <w:rPr>
          <w:b/>
        </w:rPr>
        <w:t>E. 6.2.3</w:t>
      </w:r>
    </w:p>
    <w:p>
      <w:r>
        <w:t>Zusammenfassend kann festgestellt werden, dass das BFM die Ausführungen des Beschwerdeführers, welche er im Rahmen seiner Befragung vom 14. Januar 2011 zu Protokoll gab, zum grössten Teil ausser Acht gelassen hat und sich einseitig nur auf Feststellungen der türkischen Behörden beruft.</w:t>
      </w:r>
    </w:p>
    <w:p>
      <w:r>
        <w:rPr>
          <w:b/>
        </w:rPr>
        <w:t>E. 6.3</w:t>
      </w:r>
    </w:p>
    <w:p>
      <w:r>
        <w:t>Nach dem Urteil vom (...) 2010, das inzwischen teilweise vom Kassationshof bestätigt worden sei, ist der Beschwerdeführer einzig aufgrund seiner Teilnahme an einer Kundgebung vom (...) 2004 gegen die Absicht des Staates, ein neues Strafvollzugsgesetz einzuführen, verurteilt worden. Die Teilnehmer hätten Slogans gerufen und Sicherheitskräfte mit Molotow-Cocktails, Steinschleudern und Pflastersteinen angegriffen. Eine Gruppe der ESP sei zum Parlament marschiert und hätte dort eine Presseerklärung vorgelesen. Nach einem weiteren Zusammenstoss mit der Polizei, habe diese die Demonstranten bei einer Blockade festnehmen können; darunter habe sich auch der Beschwerdeführer aufgehalten. Der Beschwerdeführer erklärte gemäss diesem Urteil vor dem Vernehmungsrichter, dass er zwar am Demonstrationsumzug teilgenommen und möglicherweise einen Slogan skandiert habe, jedoch lediglich gegen das Strafvollzugsgesetz. Im Rahmen der Anhörung vom 14. Januar 2011 vor der Schweizerischen Botschaft sagte der Beschwerdeführer aus, dass sich die Gruppe aufgelöst habe, als das Chaos begonnen habe; irgendjemand habe Steine und Molotowcocktails geworfen. Er habe versucht, sich von dieser Gruppe zu trennen und sei - da er C._______ nicht gut kenne - in einer Hintergasse von der Polizei eingekesselt worden (A3, S. 4). Er betonte indes, nichts geworfen und keine Gewalt ausgeübt zu haben (A3, S. 6). Unter diesen Umständen erscheinen die von den türkischen Justizbehörden erhobenen Vorwürfe als nicht berechtigt und die verhängte mehrjährige Haftstrafe als unangemessen. Es scheint vielmehr, dass die Verfahren gegen den Beschwerdeführer, der schon früher in Verfahren verwickelt war, politisch motiviert sind, und es muss bezweifelt werden, ob das Verfahren der türkischen Behörden als rechtsstaatlich legitim bezeichnet werden kann.</w:t>
      </w:r>
    </w:p>
    <w:p>
      <w:r>
        <w:rPr>
          <w:b/>
        </w:rPr>
        <w:t>E. 6.4</w:t>
      </w:r>
    </w:p>
    <w:p>
      <w:r>
        <w:t>Schliesslich gilt es zu berücksichtigen, dass aufgrund des gegen den Beschwerdeführer eingeleiteten Strafverfahrens ein politisches Datenblatt erstellt worden sein dürfte. Nach der Rechtsprechung des Bundesverwaltungsgerichts ist bei asylsuchenden Personen aus der Türkei, für die im Zusammenhang mit vermuteter regimekritischer Orientierung oder "staatsfeindlicher Aktivitäten" politische Datenblätter angelegt worden sind, in der Regel bereits aufgrund dieser Fichierung von einer berechtigten Furcht vor künftiger asylrechtlich relevanter staatlicher Verfolgung auszugehen. Eine landesweite und für sämtliche Polizeistellen der Türkei ohne Aufwand feststellbare Fichierung als "politisch unbequeme Person" führt nach Kenntnis des Bundesverwaltungsgericht aller Voraussicht nach zu einer - möglicherweise wenig intensiven, indes zeitlich zweifellos andauernden - behördlichen Überwachung (vgl. dazu BVGE 2010/19 und EMARK 2005 Nr. 11).</w:t>
      </w:r>
    </w:p>
    <w:p>
      <w:r>
        <w:rPr>
          <w:b/>
        </w:rPr>
        <w:t>E. 6.5</w:t>
      </w:r>
    </w:p>
    <w:p>
      <w:r>
        <w:t>Im Übrigen besteht kein Grund zur Annahme einer Asylunwürdigkeit des Beschwerdeführers im Sinne von Art. 53 AsylG, da - wie vorgängig festgestellt wurde - keine konkreten Anhaltspunkte dafür vorliegen, dass er verwerfliche Handlungen im Sinne dieser Bestimmung begangen oder die innere oder äussere Sicherheit der Schweiz verletzt habe oder gefährde.</w:t>
      </w:r>
    </w:p>
    <w:p>
      <w:r>
        <w:rPr>
          <w:b/>
        </w:rPr>
        <w:t>E. 6.6</w:t>
      </w:r>
    </w:p>
    <w:p>
      <w:r>
        <w:t>Ohne abschliessende Beurteilung des Asylgesuchs des Beschwerdeführers ergibt sich aus dem Gesagten, dass eine Gefährdung aus einem Grund nach Art. 3 AsylG nicht ausgeschlossen werden kann.</w:t>
      </w:r>
    </w:p>
    <w:p>
      <w:r>
        <w:rPr>
          <w:b/>
        </w:rPr>
        <w:t>E. 7</w:t>
      </w:r>
    </w:p>
    <w:p>
      <w:r>
        <w:t>Es bleibt zu prüfen, ob dem Beschwerdeführer zugemutet werden kann - prioritär vor der Schweiz - in einem anderen Staat um Schutz nachzusuchen (Art. 52 Abs. 2 AsylG). Als Beziehung zur Schweiz nannte der Beschwerdeführer einen Kindheitsfreund, der nach seinen Aussagen mit ihm zusammen angeklagt war und der nach einer Einreisebewilligung inzwischen in der Schweiz Asyl erhalten hat (D._______, N (...); A3, S. 4). Ferner wohnt im Kanton Basel-Stadt eine Tante des Beschwerdeführers (E._______). Im Gegensatz dazu hat er - gemäss der Beschwerdeschrift vom 4. Mai 2011 - in Kroatien keinerlei Beziehungen. Es ist daher nicht ersichtlich, weshalb eine Eingliederung in Kroatien zumutbarer sein soll, zumal das BFM selber angibt, eine Assimilierung in Kroatien könnte sich schwieriger gestalten als in der Schweiz. Das BFM hat demnach zu Unrecht die Ausschlussklausel von Art. 52 Abs. 2 AsylG angewendet.</w:t>
      </w:r>
    </w:p>
    <w:p>
      <w:r>
        <w:rPr>
          <w:b/>
        </w:rPr>
        <w:t>E. 8</w:t>
      </w:r>
    </w:p>
    <w:p>
      <w:r>
        <w:t>Zusammenfassend ergibt sich, dass die angefochtene Verfügung Bundesrecht verletzt (Art. 106 AsylG). Die Beschwerde ist demnach im Sinne der Erwägungen gutzuheissen, die Verfügung des BFM vom 16. März 2011 aufzuheben und das Bundesamt anzuweisen, dem Beschwerdeführer die Einreise in die Schweiz zwecks hiesiger Durchführung eines Asylverfahrens zu bewilligen.</w:t>
      </w:r>
    </w:p>
    <w:p>
      <w:r>
        <w:rPr>
          <w:b/>
        </w:rPr>
        <w:t>E. 9.1</w:t>
      </w:r>
    </w:p>
    <w:p>
      <w:r>
        <w:t>Bei diesem Ausgang des Verfahrens sind keine Kosten aufzuerlegen (Art. 63 Abs. 1 und 2 VwVG).</w:t>
      </w:r>
    </w:p>
    <w:p>
      <w:r>
        <w:rPr>
          <w:b/>
        </w:rPr>
        <w:t>E. 9.2</w:t>
      </w:r>
    </w:p>
    <w:p>
      <w:r>
        <w:t>Dem vertretenden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des Beschwerdeführers hat keine Kostennote zu den Ak­ten gereicht. Auf die Nachforderung einer solchen kann je­doch verzichtet werden, da sich die Vertretungskosten aufgrund der Akten abschätzen lassen (Art. 14 Abs. 2 VGKE). Diese werden auf Fr. 750.- (inklusive Auslagen, ohne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