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E-2546/2014 vom 5. August 2014</w:t>
      </w:r>
    </w:p>
    <w:p>
      <w:r>
        <w:t>Bundesverwaltungsgericht, 2014-08-05, DE</w:t>
      </w:r>
    </w:p>
    <w:p>
      <w:r>
        <w:rPr>
          <w:b/>
        </w:rPr>
        <w:t xml:space="preserve">Quelle: </w:t>
      </w:r>
      <w:r>
        <w:t>https://mcp.opencaselaw.ch/entscheid/bvger_E-2546_2014</w:t>
      </w:r>
    </w:p>
    <w:p>
      <w:r>
        <w:t>FR: TAF E-2546/2014 du 5 août 2014</w:t>
      </w:r>
    </w:p>
    <w:p>
      <w:r>
        <w:t>IT: TAF E-2546/2014 del 5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Die Beschwerde ist frist- und nach dem Gesagten auch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1.5</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und damit die Einreise in die Schweiz ist zu verweigern, wenn keine Hinweise auf eine aktuelle Gefährdung im Sinn von Art. 3 AsylG vorliegen oder ihr zuzumuten ist, sich in einem Drittstaat um Aufnahme zu bemühen (aArt. 52 Abs. 2 AsylG).</w:t>
      </w:r>
    </w:p>
    <w:p>
      <w:r>
        <w:rPr>
          <w:b/>
        </w:rPr>
        <w:t>E. 5.2</w:t>
      </w:r>
    </w:p>
    <w:p>
      <w:r>
        <w:t>Für die Erteilung einer Einreisebewilligung gelten restriktive Voraussetzungen, wobei den Behörden ein weiter Ermessensspielraum zu­kommt.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6.1</w:t>
      </w:r>
    </w:p>
    <w:p>
      <w:r>
        <w:t>Das Gericht teilt die Auffassung der Vorinstanz, dass es sich bei den vom Beschwerdeführer vorgebrachten wiederholten Übergriffen durch ihm unbekannte bewaffnete Personen nicht um eine landesweite Verfolgung handelt und er sich allfälligen zukünftigen derartigen Nachteilen durch eine Wohnsitznahme ausserhalb seines Herkunftsortes entziehen kann. Seinen Ausführungen ist denn auch zu entnehmen, dass seine Verfolger ihm nur in seinem Herkunftsort D._______ nachstellten und er an seinem neuen Wohnort G._______ nicht behelligt wurde. Im Übrigen kann in Anbetracht dessen, dass der Beschwerdeführer ein (...)beamter ist, auch davon ausgegangen werden, dass er auf den Schutz durch die heimatlichen Behörden zählen kann. Die Behauptung, die Sicherheitsbehörden hätten auf die von ihm eingereichte Strafanzeige hin nichts unternommen, rechtfertigt keinen anderen Schluss. Immerhin haben sie seine Anzeige entgegengenommen, und es liegen keine konkreten Anhaltspunkte dafür vor, dass ihm grundsätzlich der Schutz verweigert worden wäre. Diese Vorkommnisse vermögen daher den Anforderungen an eine asylrelevante Verfolgung gemäss Art. 3 AsylG nicht zu genügen.</w:t>
      </w:r>
    </w:p>
    <w:p>
      <w:r>
        <w:rPr>
          <w:b/>
        </w:rPr>
        <w:t>E. 6.2</w:t>
      </w:r>
    </w:p>
    <w:p>
      <w:r>
        <w:t>Soweit der Beschwerdeführer vorbringt, er sei von der sri-lankischen Armee zweimal verhört und der Unterstützung der LTTE beschuldigt worden, ist zwar zu berücksichtigen, dass gemäss bisheriger Recht­sprechung des Bundesverwaltungsgerichts Personen, die verdächtigt werden, mit den LTTE in Verbindung gestanden zu haben oder zu stehen, einer erhöhten Verfolgungsgefahr ausgesetzt sind (vgl. BVGE 2011/24 E. 8.1). Indessen ergeben sich vorliegend keine hinreichenden Anhaltspunkte dafür, dass der Beschwerdeführer aktuell eine politisch indizierte Verfolgung durch die heimatlichen Behörden zu gewärtigen hat. Es ist davon auszugehen, dass ihn die Armee im Falle eines tatsächlichen erhärteten Verdachts einer früheren Unterstützung der LTTE nicht nur befragt, sondern festgenommen hätte, was indes nicht der Fall war. Den zweimaligen Verhören durch die Armee, welche nach der Schilderung des Beschwerdeführers eineinhalb beziehungsweise zwei Stunden dauerten, kommt aufgrund ihrer mangelnden Intensität per se kein Verfolgungs­charakter zu. Gegen eine begründete Verfolgungsfurcht des Beschwerdeführers spricht auch der Umstand, dass er und seine Familie anscheinend nach ihrem missglückten Fluchtversuch an ihren bisherigen Wohnort in G._______ zurückgekehrt sind und zumindest seine Ehefrau sich auch zeitweilig an in ihrem früheren Wohnhaus in D._______ aufgehalten hat (vgl. Eingabe vom 25. April 2014). Es wurde auch nicht vorgebracht, der Beschwerdeführer habe seine Position als (...) in D._______ aufgegeben. Der Beschwerdeführer und seine Familie sahen demnach offenkundig keine Veranlassung, sich allfälligen Massnahmen seitens der Armee durch Verlegung ihres Wohnsitzes in einen anderen Teil ihres Heimatlandes zu entziehen.</w:t>
      </w:r>
    </w:p>
    <w:p>
      <w:r>
        <w:rPr>
          <w:b/>
        </w:rPr>
        <w:t>E. 6.3</w:t>
      </w:r>
    </w:p>
    <w:p>
      <w:r>
        <w:t>Zusammenfassend ist festzustellen, dass eine Schutzgewährung durch die Schweiz nicht erforderlich ist. Die Vorinstanz hat demnach dem Beschwerdeführer zu Recht die Einreise in die Schweiz nicht bewilligt und sein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