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E-2545/2014 vom 27. August 2014</w:t>
      </w:r>
    </w:p>
    <w:p>
      <w:r>
        <w:t>Bundesverwaltungsgericht, 2014-08-27, DE</w:t>
      </w:r>
    </w:p>
    <w:p>
      <w:r>
        <w:rPr>
          <w:b/>
        </w:rPr>
        <w:t xml:space="preserve">Quelle: </w:t>
      </w:r>
      <w:r>
        <w:t>https://mcp.opencaselaw.ch/entscheid/bvger_E-2545_2014</w:t>
      </w:r>
    </w:p>
    <w:p>
      <w:r>
        <w:t>FR: TAF E-2545/2014 du 27 août 2014</w:t>
      </w:r>
    </w:p>
    <w:p>
      <w:r>
        <w:t>IT: TAF E-2545/2014 del 27 agosto 2014</w:t>
      </w:r>
    </w:p>
    <w:p>
      <w:pPr>
        <w:pStyle w:val="Heading2"/>
      </w:pPr>
      <w:r>
        <w:t>Regeste</w:t>
      </w:r>
    </w:p>
    <w:p>
      <w:r>
        <w:t>Asylgesuch aus dem Ausland und Einreisebewilligung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Rechtsmitteleingabe des Beschwerdeführers ist zwar auf Eng­lisch abgefasst. Auf die Ansetzung einer Frist zur Beschwerdeverbesserung kann indessen vorliegend praxisgemäss verzichtet werden, zumal der Eingabe genügend klare, sinngemässe Rechtsbegehren und deren Begründung zu entnehmen sind und ohne Weiteres darüber befunden werden kann.</w:t>
      </w:r>
    </w:p>
    <w:p>
      <w:r>
        <w:rPr>
          <w:b/>
        </w:rPr>
        <w:t>E. 1.3</w:t>
      </w:r>
    </w:p>
    <w:p>
      <w:r>
        <w:t>Die Beschwerde ist somit fristgerecht und in der Form akzeptiert eingereicht. Der Beschwerdeführer ist durch die angefochtene Verfügung be­sonders berührt und hat ein schutzwürdiges Interesse an deren Aufhebung beziehungsweise Änderung. Er ist daher zur Einreichung der Beschwerde legitimiert (Art. 105 und Art. 108 Abs. 1 AsylG sowie Art. 48 Abs. 1 und Art. 52 VwVG). Auf die Beschwerde ist einzutreten.</w:t>
      </w:r>
    </w:p>
    <w:p>
      <w:r>
        <w:rPr>
          <w:b/>
        </w:rPr>
        <w:t>E. 1.4</w:t>
      </w:r>
    </w:p>
    <w:p>
      <w:r>
        <w:t>Gestützt auf Art. 33a Abs. 2 VwVG i.V.m. Art. 6 AsylG ergeht der vorliegende Entscheid in deutscher Sprache.</w:t>
      </w:r>
    </w:p>
    <w:p>
      <w:r>
        <w:rPr>
          <w:b/>
        </w:rPr>
        <w:t>E. 2</w:t>
      </w:r>
    </w:p>
    <w:p>
      <w:r>
        <w:t>Mit Beschwerde kann die Verletzung von Bundesrecht, einschliesslich Missbrauch und Überschreitung des Ermessens, und die unrichtige oder unvollständige Feststellung des Sachverhalts gerügt werden (Art. 106 Abs. 1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 4.1 Gemäss aArt. 19 Abs. 1 AsylG kann ein Asylgesuch im Ausland bei einer schweizerischen Vertretung gestellt werden, welche es mit einem Bericht an das Bundesamt überweist (aArt. 20 Abs. 1 AsylG). Einer Person, die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4.2 Für die Erteilung einer Einreisebewilligung gelten restriktive Voraussetzungen, wobei den Behörden ein weiter Beurteilungsspielraum zu­kommt.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Zur Begründung seines ablehnenden Entscheides führt das BFM aus, den Akten seien keine Anhaltspunkte dafür zu entnehmen, dass der Beschwerdeführer aktuell des Schutzes der Schweiz bedürfe. Die von ihm geltend gemachte Angst vor einer Verfolgung durch den sri-lankischen Staat vermöge die Wahrscheinlichkeit einer einreiserelevanten Verfolgung nicht zu begründen. Er sei (...) freigesprochen worden, womit klar sei, dass die sri-lankischen Behörden ihn keiner Straftat verdächtigten. Zwar sei nicht auszuschliessen, dass der Beschwerdeführer nach seiner Freilassung verschiedentlich schikaniert worden sei. Diesen Vorfällen komme aber aufgrund mangelnder Intensität kein Verfolgungscharakter zu. Die Tatsache, dass ihm (...) ein neuer Pass ausgestellt worden sei, wertete das BFM als Bestätigung seiner rechtlichen Würdigung. Der Beschwerdeführer weise kein Gefährdungsprofil aus, das im heutigen Zeitpunkt mit erheblicher Wahrscheinlichkeit auf eine Verfolgung seitens des sri-lankischen Staates schliessen lasse, weshalb die geltend gemachten Vorbringen nicht einreiserelevant seien. Auch die eingereichten Dokumente könnten an diesen Erwägungen nichts ändern, da sie lediglich Vorbringen stützten, deren Glaubhaftigkeit nicht in Frage gestellt werde.</w:t>
      </w:r>
    </w:p>
    <w:p>
      <w:r>
        <w:rPr>
          <w:b/>
        </w:rPr>
        <w:t>E. 5.2</w:t>
      </w:r>
    </w:p>
    <w:p>
      <w:r>
        <w:t>In seiner Rechtsmitteleingabe verweist der Beschwerdeführer im Wesentlichen auf den im erstinstanzlichen Verfahren geltend gemachten Sachverhalt und führt aus, er schlafe aufgrund seiner Befürchtung, vom CID gesucht zu werden, nie zuhause. Täglich komme es in Sri Lanka wieder zu Verhaftungen, was den beigelegten Zeitungsartikeln entnommen werden könne.</w:t>
      </w:r>
    </w:p>
    <w:p>
      <w:r>
        <w:rPr>
          <w:b/>
        </w:rPr>
        <w:t>E. 5.3</w:t>
      </w:r>
    </w:p>
    <w:p>
      <w:r>
        <w:t>Das Bundesverwaltungsgericht kommt nach Würdigung der Aktenlage zum Schluss, dass die vorinstanzlichen Erwägungen im Ergebnis zu bestätigen sind. Zwar mutet seltsam an, dass die LTTE auf eine Rekrutierung des Beschwerdeführers alleine deshalb verzichtet haben sollen, weil seine Mutter ihnen gesagt habe, er (...). Im Übrigen gibt es aber keinen Grund, an der Glaubhaftigkeit der Vorbringen des Beschwerdeführers zu zweifeln, wonach er (...) regelmässig von den sri-lankischen Sicherheitsbehörden aufgesucht, befragt und kurz nach Freilassung anlässlich einer Befragung auch geschlagen worden sei. Zutreffend hält das BFM aber fest, dass daraus noch nicht auf eine Schutzbedürftigkeit des Beschwerdeführers zu schliessen ist, wobei, um Wiederholungen zu vermeiden, auf die entsprechende Begründung in der angefochtenen Verfügung verwiesen werden kann. Es fällt im Übrigen auf, dass es offenbar seit dem Vorkommnis nach der Befragung auf der Botschaft (...) zu keinen weiteren Vorfällen gekommen ist, jedenfalls macht der Beschwerdeführer in seiner Rechtsmitteleingabe keine solchen mehr geltend. Schliesslich fehlt es allfälligen regelmässigen Besuchen der Sicherheitsbehörden an der nötigen Intensität, um im Sinne von Art. 3 AsylG relevant zu sein, selbst wenn eine gewisse subjektiv empfundene Furcht des Beschwerdeführers aufgrund des von ihm Erlebten und des Umstandes, dass es unbestrittenermassen in Sri Lanka wieder zu Festnahmen von LTTE-Mitgliedern oder Personen in diesem Umfeld gekommen ist, verständlich ist. Von einer aktuellen Gefahr vor Verfolgung im Sinne von Art. 3 AsylG - und nur dies ist vorliegend zu prüfen - ist insgesamt nicht auszugehen. Schliesslich führen auch die vom Beschwerdeführer geltend gemachten Umstände, wie die Schwierigkeiten im Zusammenhang mit dem Kampf um eine wirtschaftliche Existenzgrundlage, die durch (...) zusätzlich erschwerte Lebenssituation sowie der Wunsch (...), nicht zur Annahme einer Schutzbedürftigkeit im oben umschriebenen Sinn. Nach dem Gesagten ist zusammenfassend festzuhalten, dass der Beschwerdeführer zum jetzigen Zeitpunkt in Sri Lanka keiner Gefährdung im Sinne von Art. 3 AsylG ausgesetzt ist. Unter diesen Umständen hat das BFM ihm zu Recht die Erteilung der Einreisebewilligung verweigert und sein Asylgesuch abgewiesen.</w:t>
      </w:r>
    </w:p>
    <w:p>
      <w:r>
        <w:rPr>
          <w:b/>
        </w:rPr>
        <w:t>E. 6</w:t>
      </w:r>
    </w:p>
    <w:p>
      <w:r>
        <w:t>Aus diesen Erwägungen ergibt sich, dass die angefochtene Verfügung Bundesrecht nicht verletzt und den rechtserheblichen Sachverhalt richtig und unvollständig feststellt (Art. 106 Abs. 1 AsylG), weshalb die Beschwerde abzuweisen ist.</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