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E-2545/2011 vom 7. Juni 2011</w:t>
      </w:r>
    </w:p>
    <w:p>
      <w:r>
        <w:t>Bundesverwaltungsgericht, 2011-06-07, DE</w:t>
      </w:r>
    </w:p>
    <w:p>
      <w:r>
        <w:rPr>
          <w:b/>
        </w:rPr>
        <w:t xml:space="preserve">Quelle: </w:t>
      </w:r>
      <w:r>
        <w:t>https://mcp.opencaselaw.ch/entscheid/bvger_E-2545_2011</w:t>
      </w:r>
    </w:p>
    <w:p>
      <w:r>
        <w:t>FR: TAF E-2545/2011 du 7 juin 2011</w:t>
      </w:r>
    </w:p>
    <w:p>
      <w:r>
        <w:t>IT: TAF E-2545/2011 del 7 giugno 2011</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vor dem Bundesverwaltungsgericht richtet sich nach dem VwVG, soweit das VGG nichts anderes bestimmt (Art. 37 VGG).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In Anwendung von Art. 111a Abs. 1 AsylG ist auf die Durchführung eines Schriftenwechsels verzichtet worden.</w:t>
      </w:r>
    </w:p>
    <w:p>
      <w:r>
        <w:rPr>
          <w:b/>
        </w:rPr>
        <w:t>E. 3.1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[vormaligen] Asylrekurskommission [EMARK] 2004 Nr. 21 E. 2b, EMARK 1997 Nr. 15 E. 2e-g). Ausschlaggebend für die Erteilung der Einreisebewilligung ist dabei die Schutzbedürftigkeit der betroffenen Personen (vgl. EMARK 1997 Nr. 15 E. 2c), mithin die Prüfung der Fragen, ob eine Gefährdung im Sinne von Art. 3 AsylG glaubhaft gemacht wird und ob der Verbleib am Aufenthaltsort für die Dauer der Sachverhaltsabklärung zugemutet werden kann.</w:t>
      </w:r>
    </w:p>
    <w:p>
      <w:r>
        <w:rPr>
          <w:b/>
        </w:rPr>
        <w:t>E. 3.2</w:t>
      </w:r>
    </w:p>
    <w:p>
      <w:r>
        <w:t>Zur Begründung des Entscheides stellte die Vorinstanz vorab fest, die Anwesenheit der Beschwerdeführenden in der Schweiz sei für die Ermittlung des rechtserheblichen Sachverhalts nicht erforderlich, da dieser rechtsgenüglich festgestellt sei. Auch liege keine unmittelbare Gefährdung der Beschwerdeführerin und ihres Kindes im Aufenthaltsstaat vor, sodass keine sofortige Einreise notwendig. Die Ausführungen in der Stellungnahme vom 24. Januar 2011 liessen zwar darauf schliessen, dass die Beschwerdeführerin ernstzunehmende Schwie­rigkeiten mit den eritreischen Behörden gehabt habe. Indessen befinde sie sich seit (...) 2009 in Äthiopien und sei dort vom UNHCR registriert. Es könne davon ausgegangen werden, dass ihr damit Schutz und Aufenthalt gewährt werde. Zu den geltend gemachten Problemen mit ihrem Freund und den prekären humanitären Bedingungen in Flüchtlingslagern Äthiopien sei festzustellen, dass sich in Äthiopien zahlreiche eritreische Flüchtlinge und Asylbewerber aufhielten, deren Lage nicht einfach sei. Dennoch bestünden keine konkreten Anhaltspunkte für die Annahme, ein weiterer Verbleib in Äthiopien sei den Beschwerdeführerenden schlechterdings nicht zumutbar oder nicht möglich. So sei der Aufenthalt in äthiopischen Flüchtlingslagern - wie das Bundesverwaltungsgericht in einem aktuellen Entscheid für somalische Asylbewerber in äthiopischen Lagern festgestellt habe (Urteil des Bundesverwaltungsgerichts E-145/2010 vom 11. Februar 2010) - grundsätzlich zumutbar, zumal zumindest die Grundbedürfnisse der Lagerinsassen gedeckt würden. Weiter böten die äthiopischen Behörden, das UNHCR und nichtstaatliche Organisationen im Fall von häuslicher Gewalt auf Antrag hin den nötigen Schutz. Es sei der Beschwerdeführerin zuzumuten, von dieser Möglichkeit Gebrauch zu machen. Wohl habe die Beschwerdeführerin in der Person ihres Bruders einen Anknüpfungspunkt zu Schweiz. Dieser sei allerdings nicht derart gewichtig, als dass eine Abwägung der Gesamtumstände dazu führen müsste, dass es gerade die Schweiz sei, die den erforderlichen Schutz gewährten sollte.</w:t>
      </w:r>
    </w:p>
    <w:p>
      <w:r>
        <w:rPr>
          <w:b/>
        </w:rPr>
        <w:t>E. 3.3</w:t>
      </w:r>
    </w:p>
    <w:p>
      <w:r>
        <w:t>Die Beschwerdeführenden hielten dieser Begründung entgegen, dass sie sich aufgrund ihrer spezifischen Umstände in Schwierigkeiten befänden. Sie müssten sich im Flüchtlingslager, wo keine genügende In­frastruktur vorhanden sei und sie nicht hinreichend versorgt würden, ein Zelt mit anderen Personen teilen. Sie hätten in den ersten drei Monaten lediglich 16 Kilogramm Getreidekörner pro Person und Monat erhalten und alles Übrige (Lebensmittel, medizinische Leistungen etc.) selber bezahlen müssen. Zudem sei der D._______, der sie misshandelt habe, mit Hilfe des Geheimdienstes in der Lage, sie nach Eritrea zurückzuholen. Schliesslich habe dieser seine Fähigkeiten schon früher bei der Rückschaffung einer anderen Person bewiesen. Weiter fürchte sich die Beschwerdeführerin davor, den äthiopischen Behörden zu verraten, dass sie und ihr Freund desertierte Soldaten der eritreischen Streitkräfte seien. Sie hätten diesfalls Repressionen zu erwarten. Aus sozialen und kulturellen Gründen dürfte es für sie zudem schwer fallen, rechtliche Schritte gegen den bisherigen Lebenspartner einzuleiten, auch wenn in Äthiopien angeblich eine Infrastruktur für Opfer häuslicher Gewalt bestehe. Weiter sei in Erinnerung zu rufen, dass die Beschwerdeführerin für ein Kleinkind zu sorgen habe und damit zum Kreis der verletzlichen Personen gehöre, die von vornherein mit schwierigeren Bedingungen zu kämpfen hätten.</w:t>
      </w:r>
    </w:p>
    <w:p>
      <w:r>
        <w:rPr>
          <w:b/>
        </w:rPr>
        <w:t>E. 3.4</w:t>
      </w:r>
    </w:p>
    <w:p>
      <w:r>
        <w:t>Die Vorinstanz geht im angefochtenen Entscheid offensichtlich vom Bestehen einer Gefährdungssituation im Heimatstaat der Beschwerdeführenden aus, wird doch einleitend ausgeführt, dass die Schilderungen vom 24. Januar 2011 darauf schliessen liessen, die Beschwerdeführerin habe ernstzunehmende Schwierigkeiten mit den eritreischen Behörden gehabt. Ferner attestiert der für die Beschwerdeführenden ausgestellte Ausweis des UNHCR, der lediglich in Form einer Kopie vorliegt, deren einstweiligen Aufenthalt im Lager F._______ seit (...) 2009 und deren Herkunft aus Eritrea. Die Vorinstanz verweigerte die Einreise und die Asylgewährung im ersten Teil der Verfügungsbegründung (E. 1-5) gestützt auf Art. 20 Abs. 2 und 3 AsylG i.V.m. Art. 52 Abs. 2 AsylG.</w:t>
      </w:r>
    </w:p>
    <w:p>
      <w:r>
        <w:rPr>
          <w:b/>
        </w:rPr>
        <w:t>E. 3.5</w:t>
      </w:r>
    </w:p>
    <w:p>
      <w:r>
        <w:t>Die Vorinstanz legt im angefochtenen Entscheid plausibel dar, dass die Beschwerdeführenden in Äthiopien, wo sie vom UNHCR registriert sind, Schutz und Aufenthalt gefunden haben, und dass trotz der schwierigen Bedingungen für eritreische Flüchtlinge in Äthiopien der Verbleib der Beschwerdeführenden in diesem Drittstaat weder unzumutbar noch unmöglich ist. Diesen Ausführungen und namentlich der Feststellung, dass die Grundbedürfnisse der in den äthiopischen Lagern untergebrachten Flüchtlinge gedeckt sind und dass damit in der Regel ein Verbleib als zumutbar erscheint, ist nichts mehr beizufügen. Weiter kam das BFM zum Schluss, die Abwägung der Gesamtumstände und die Anknüpfung der Beschwerdeführenden zur Schweiz, welche durch die Person des Bruders beziehungsweise Onkels geschaffen werde, führe nicht dazu, dass es gerade die Schweiz sein müsse, die den Schutz der Beschwerdeführenden zu gewähren habe. Dieser Einschätzung der Sachlage und der Feststellung, dass die durch die verwandschaftliche Beziehung zum Rechtsvertreter bestehende Verbindung nicht eine enge Beziehungsnähe zu Schweiz darstelle, ist zuzustimmen. Es kann deshalb diesbezüglich auf die korrekten Erwägungen der Vorinstanz in der angefochtenen Verfügung verwiesen werden.</w:t>
      </w:r>
    </w:p>
    <w:p>
      <w:r>
        <w:rPr>
          <w:b/>
        </w:rPr>
        <w:t>E. 3.6</w:t>
      </w:r>
    </w:p>
    <w:p>
      <w:r>
        <w:t>Aus den vorstehenden Erwägungen beziehungsweise dem ihnen zugrunde liegenden Sachverhalt geht hervor, dass auch kein Anlass besteht, den Beschwerdeführenden gestützt auf Art. 20 Abs. 2 AsylG die Einreise in die Schweiz zu bewilligen, da die Sachlage klar ist und zur Feststellung des Sachverhaltes keine zusätzlichen Abklärungen erforderlich sind.</w:t>
      </w:r>
    </w:p>
    <w:p>
      <w:r>
        <w:rPr>
          <w:b/>
        </w:rPr>
        <w:t>E. 3.7</w:t>
      </w:r>
    </w:p>
    <w:p>
      <w:r>
        <w:t>Das BFM hat mithin zu Recht die Einreise der Beschwerdeführerin in die Schweiz gestützt auf Art. 20 Abs. 2 und 3 AsylG verweigert und ihr Asylgesuch gestützt auf Art. 3 AsylG abgelehnt.</w:t>
      </w:r>
    </w:p>
    <w:p>
      <w:r>
        <w:rPr>
          <w:b/>
        </w:rPr>
        <w:t>E. 4</w:t>
      </w:r>
    </w:p>
    <w:p>
      <w:r>
        <w:t>Ehegatten von Flüchtlingen und ihre minderjährigen Kinder werden als Flüchtlinge anerkannt und erhalten Asyl, sofern keine besonderen Umstände dagegen sprechen (Art. 51 Abs. 1 AsylG). Wurden die anspruchsberechtigten Personen durch die Flucht getrennt und befinden sie sich im Ausland, ist ihre Einreise auf Gesuch hin zu bewilligen (Art. 51 Abs. 4 AsylG). Diese Bestimmung zielt auf die Mitglieder der Kernfamilie (d.h. Ehepartner, eingetragene Partner und minderjährige Kinder) ab, welche mit einem Flüchtling in die Schweiz eingereist sind, ihrerseits aber keine eigenen Asylgründe (im Sinne von Art. 3 Abs. 1 AsylG) geltend machen können, sondern sich auf der Basis ihrer Familienbande ebenfalls auf die Gesuchsgründe des Flüchtlings abstützen. Zentrale Bedingung für den Einbezug in die Flüchtlingseigenschaft ist dabei, dass bereits vor der Flucht eine Familiengemeinschaft bestanden hat (vgl. dazu die Botschaft zur Totalrevision des Asylgesetzes sowie zur Änderung des Bundesgesetzes über Aufenthalt und Niederlassung der Ausländer vom 4. Dezember 1995, BBl 1996 II 1 ff., insbes. S. 68).</w:t>
      </w:r>
    </w:p>
    <w:p>
      <w:r>
        <w:rPr>
          <w:b/>
        </w:rPr>
        <w:t>E. 4.1</w:t>
      </w:r>
    </w:p>
    <w:p>
      <w:r>
        <w:t>In seinem Entscheid hat das BFM die Anforderungen von Art. 51 Abs. 4 AsylG im Falle der in Eritrea verbliebenen Schwester und des Neffen des Rechtsvertreters als nicht erfüllt erkannt und die Erteilung einer Einreisebewilligung auch gestützt auf diese Gesetzesbestimmung verwei­gert (vgl. E. 6 der angefochtenen Verfügung). Zur Begründung wird vom BFM zur Hauptsache angeführt, es werde nicht die Wiedervereinigung einer Kernfamilie im eigentlichen Sinne, sondern die Zusammenführung von nahen Verwandten wegen einer besonderen Beziehung beantragt. In diesem Zusammenhang konnte das BFM keine besondere enge Beziehung der Beschwerdeführenden zum Rechtsvertreter (Bruder beziehungweise Onkel) erkennen.</w:t>
      </w:r>
    </w:p>
    <w:p>
      <w:r>
        <w:rPr>
          <w:b/>
        </w:rPr>
        <w:t>E. 4.2</w:t>
      </w:r>
    </w:p>
    <w:p>
      <w:r>
        <w:t>Im Rahmen der Beschwerdebegründung wendete der Rechtsvertreter ein, das Gesuch um Einschluss ins Familienasyl sei gutzuheissen, weil die prekären Verhältnisse vor Ort - ungenügende Infrastruktur, häusliche Gewalt, das Wohl eines Kleinkindes und der Bedarf nach Schutz vor einer Entführung und vor dem gewalttätigen Lebenspartner sowie die knappen finanziellen Mittel - mittlerweile zu einem sehr engen, regelmässigen Kontakt und zu einem engen Abhängigkeitsverhältnis zum Rechtsvertreter geführt hätten. Somit machte er sinngemäss geltend, seine Schwester als einzige sorgeberechtigte Person ihres Sohnes könne weder für sich sorgen, noch die mit dem Sorgerecht verbundenen Verpflichtungen für ihren Sohn ohne Zuhilfenahme seiner Person und ohne räumliche Trennung vom gewalttätigen Lebenspartner in ausreichender Weise wahrnehmen.</w:t>
      </w:r>
    </w:p>
    <w:p>
      <w:r>
        <w:rPr>
          <w:b/>
        </w:rPr>
        <w:t>E. 4.3</w:t>
      </w:r>
    </w:p>
    <w:p>
      <w:r>
        <w:t>Wie bereits erwähnt, ist für die Bewilligung der Einreise im Sinne von Art. 51 Abs. 4 AsylG zwingende Grundvoraussetzung, dass die Familie durch die Flucht getrennt worden ist. Der Beschwerdeführer machte jedoch weder im Vorverfahren noch auf Beschwerdeebene geltend, er sei durch seine Flucht von der unverheirateten Schwester getrennt worden. Er bestätigt vielmehr mit seiner Stellungnahme vom 24. Januar 2011, dass seine Schwester nach dem 10. Schuljahr in den Militärdienst eingetreten ist und seit (...) 2008 mit ihrem Freund beziehungsweise Vater ihres Kindes zusammen lebt. Zwangsläufig fehlt auch eine engere Bindung des Rechtsvertreters zum Kleinkind. Aufgrund dieser Aktenlage besteht kein Anlass zur Annahme, er sei vor seiner Ausreise aus Eritrea mit der Schwester und dem Neffen im Sinne einer Familiengemeinschaft verbunden gewesen. Es besteht auch kein Anlass zur Annahme, er sei mit der Schwester auf eine andere Art und Weise eng verbunden. Selbst das Vorbringen, er habe seine Schwester bisher regelmässig mit Rat und Geldzahlungen unterstützt und sie sei darauf angewiesen, ändert in dieser Hinsicht ebensowenig wie der Umstand, dass die Schwester jüngst eine räumliche Trennung von ihrem Freund und Vater ihres Kindes in Betracht gezogen haben soll, ohne selber aber rechtliche Schritte wegen erlittener häuslicher Gewalt gegen diesen zu ergreifen.</w:t>
      </w:r>
    </w:p>
    <w:p>
      <w:r>
        <w:rPr>
          <w:b/>
        </w:rPr>
        <w:t>E. 4.4</w:t>
      </w:r>
    </w:p>
    <w:p>
      <w:r>
        <w:t>Nachdem festgestellt worden ist, dass die in der Schweiz lebenden und die sich im Ausland befindenden verwandten Personen nicht durch die Flucht getrennt worden sind, sind die Voraussetzung des Familienasyls bereits aus diesem Grund nicht erfüllt. Die Frage, ob besondere Gründe im Sinne von Art. 51 Abs. 2 AsylG erfüllt wären, braucht somit nicht abschliessend beantwortet zu werden. Das BFM hat mithin die Einreise der Beschwerdeführenden in die Schweiz und das Familienasyl zu Recht gestützt auf Art. 51 AsylG verweigert.</w:t>
      </w:r>
    </w:p>
    <w:p>
      <w:r>
        <w:rPr>
          <w:b/>
        </w:rPr>
        <w:t>E. 5</w:t>
      </w:r>
    </w:p>
    <w:p>
      <w:r>
        <w:t>Die angefochtene Verfügung ist daher zu bestätigen und die Beschwerde ist abzuweisen.</w:t>
      </w:r>
    </w:p>
    <w:p>
      <w:r>
        <w:rPr>
          <w:b/>
        </w:rPr>
        <w:t>E. 6</w:t>
      </w:r>
    </w:p>
    <w:p>
      <w:r>
        <w:t>Bei diesem Ausgang des Verfahrens wären den Beschwerdeführenden grundsätzlich die Verfahrenskosten aufzuerlegen (Art. 63 Abs. 1 VwVG). In Gutheissung des Gesuchs um Gewährung der unentgeltlichen Rechtspflege im Sinne von Art. 65 Abs. 1 VwVG wird jedoch auf die Erhebung von Verfahrenskosten verzichtet, zumal das Verfahren nicht als aussichtslos zu bezeichnen war und die Beschwerdeführenden weiterhin bedürftig sein dürften.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