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E-2543/2024 vom 29. April 2024</w:t>
      </w:r>
    </w:p>
    <w:p>
      <w:r>
        <w:t>Bundesverwaltungsgericht, 2024-04-29, DE</w:t>
      </w:r>
    </w:p>
    <w:p>
      <w:r>
        <w:rPr>
          <w:b/>
        </w:rPr>
        <w:t xml:space="preserve">Quelle: </w:t>
      </w:r>
      <w:r>
        <w:t>https://mcp.opencaselaw.ch/entscheid/bvger_E-2543_2024</w:t>
      </w:r>
    </w:p>
    <w:p>
      <w:r>
        <w:t>FR: TAF E-2543/2024 du 29 avril 2024</w:t>
      </w:r>
    </w:p>
    <w:p>
      <w:r>
        <w:t>IT: TAF E-2543/2024 del 29 aprile 2024</w:t>
      </w:r>
    </w:p>
    <w:p>
      <w:pPr>
        <w:pStyle w:val="Heading2"/>
      </w:pPr>
      <w:r>
        <w:t>Regeste</w:t>
      </w:r>
    </w:p>
    <w:p>
      <w:r>
        <w:t>Nichteintreten auf Asylgesuch und Wegweisung (Dublin-Verfahren - Art. 31a Abs. 1 Bst. b AsylG)</w:t>
      </w:r>
    </w:p>
    <w:p>
      <w:pPr>
        <w:pStyle w:val="Heading2"/>
      </w:pPr>
      <w:r>
        <w:t>Erwägungen</w:t>
      </w:r>
    </w:p>
    <w:p>
      <w:r>
        <w:rPr>
          <w:b/>
        </w:rPr>
        <w:t>E. 1</w:t>
      </w:r>
    </w:p>
    <w:p>
      <w:r>
        <w:t>Bst. b Dublin-III-VO zugestimmt haben, weshalb die Zuständigkeit Slo- weniens zur Behandlung des Asyl- und Wegweisungsverfahrens des Be- schwerdeführers grundsätzlich gegeben ist,</w:t>
      </w:r>
    </w:p>
    <w:p>
      <w:r>
        <w:t>E-2543/2024 Seite 5 dass das Asylverfahren und die Aufnahmebedingungen in Slowenien ge- mäss konstanter Rechtsprechung des Bundesverwaltungsgerichts keine systemischen Schwachstellen im Sinne von Art. 3 Abs. 2 Sätze 2 und 3 Dublin-III-VO aufweisen (zuletzt etwa Urteile des BVGer D-4240/2023 vom 18. März 2024 E. 5; D-6517/2023 vom 30. November 2023 E.6 und F-5385/2023 vom 10. Oktober 2023 E. 4 m.w.H.), dass die in der Beschwerde genannten Berichte, gemäss welchen es an der slowenischen Grenze zu push-backs komme, daran nichts zu ändern vermögen, zumal der Beschwerdeführer in Slowenien ein Asylgesuch ein- reichen konnte, er das Land aber bereits wenige Tage danach wieder ver- liess, dass jeder Mitgliedstaat abweichend von Art. 3 Abs. 1 Dublin-III-VO be- schliessen kann, einen bei ihm gestellten Antrag auf internationalen Schutz zu prüfen, auch wenn er nach den in dieser Verordnung festgelegten Kri- terien nicht für die Prüfung zuständig ist (Art. 17 Abs. 1 Satz 1 Dublin-III- VO; sog. Selbsteintrittsrecht), dass Art. 29a Abs. 3 der Asylverordnung 1 vom 11. August 1999 (AsylV 1, SR 142.311) das Selbsteintrittsrecht landesrechtlich konkretisiert und ge- mäss dieser Bestimmung das SEM das Asylgesuch «aus humanitären Gründen» auch dann behandeln kann, wenn dafür gemäss Dublin-III-VO ein anderer Staat zuständig wäre, dass der Selbsteintritt zwingend ist, wenn individuelle völkerrechtliche Überstellungshindernisse vorliegen (vgl. BVGE 2015/9 E. 8.2.1), dass die Vorinstanz bereits eingehend auf die völker- sowie unionsrechtli- chen Verpflichtungen Sloweniens, namentlich auch die Beachtung des Non-Refoulement-Prinzips hingewiesen hat und mit der Vorinstanz davon auszugehen ist, Slowenien anerkenne und schütze die Rechte, die sich für Schutzsuchende daraus ergeben, dass die Vermutung, Slowenien halte seine völker- und gemeinschafts- rechtlichen Verpflichtungen ein, zwar im Einzelfall widerlegt werden kann, es hierfür aber konkreter und ernsthafter Hinweise bedarf, die von der be- troffenen Person glaubhaft darzutun sind (vgl. BVGE 2010/45 E. 7.4 f.), dass der Beschwerdeführer mit dem Vorbringen, slowenische Polizisten hätten gegen einige Personen – jedoch nicht gegen ihn – Gewalt ange- wendet, kein konkretes und ernsthaftes Risiko dargetan hat, die Behörden</w:t>
      </w:r>
    </w:p>
    <w:p>
      <w:r>
        <w:t>E-2543/2024 Seite 6 würden sich weigern, ihn wieder aufzunehmen und seinen Antrag auf in- ternationalen Schutz unter Einhaltung der Regeln der Verfahrensrichtlinie zu prüfen, dass sodann eine zwangsweise Rückweisung von Personen mit gesund- heitlichen Problemen nur ausnahmsweise einen Verstoss gegen Art. 3 EMRK darstellen kann (vgl. Urteile des EGMR Savran gegen Dänemark vom 7. Dezember 2021, Grosse Kammer, 57467/15, §§ 121 ff., Paposhvili gegen Belgien vom 13. Dezember 2016, Grosse Kammer, 41738/10, §§ 180-193 m.w.H.), dass die medizinischen Probleme des Beschwerdeführers ([…], sowie erst- mals auf Beschwerdestufe vorgebrachte psychische Belastung) nicht der- art gravierend sind, dass eine Überstellung nach Slowenien einen Verstoss gegen Art. 3 EMRK darstellen und daher zum Selbsteintritt führen würde, dass im Übrigen gemäss ständiger Praxis des Bundesverwaltungsgerichts davon auszugehen ist, Slowenien verfüge über eine zugängliche und aus- reichende medizinische Infrastruktur, und es dem Beschwerdeführer daher dort möglich sein wird, allfällige gesundheitlichen Probleme behandeln zu lassen (vgl. Art. 19 Abs. 1 und 2 Aufnahmerichtlinie; Urteil des BVGer F- 5385/2023 E. 5.2, m.w.H.), dass die schweizerischen Vollzugsbehörden – falls nötig – die sloweni- schen Behörden vorgängig in geeigneter Weise über spezifische medizini- sche Umstände informieren werden (vgl. Art. 31 f. Dublin-III-VO), dass den Akten auch keine anderweitigen Gründe für die Annahme zu ent- nehmen sind, Slowenien werde in vorliegendem Fall den Grundsatz des Non-Refoulement missachten und den Beschwerdeführer zur Ausreise in ein Land zwingen, in dem sein Leib, Leben oder seine Freiheit aus einem Grund nach Art. 3 Abs. 1 AsylG gefährdet ist oder in dem er Gefahr laufen würde, zur Ausreise in ein solches Land gezwungen zu werden, dass die Ausführungen in der Beschwerde – die sich im Wesentlichen mit Hinweisen auf allgemeine Berichte begnügen – offensichtlich keinen ande- ren Schluss zulassen, dass gemäss Praxis des Bundesverwaltungsgerichts das SEM bei der An- wendung von Art. 29a Abs. 3 AsylV 1 über einen Ermessensspielraum (vgl. BVGE 2015/9 E. 7 f.) verfügt und die angefochtene Verfügung nicht an ei- nem Ermessensfehler leidet,</w:t>
      </w:r>
    </w:p>
    <w:p>
      <w:r>
        <w:t>E-2543/2024 Seite 7 dass den Akten schliesslich keine Anhaltspunkte zu entnehmen sind, wel- che es vorliegend als notwendig erscheinen liessen, von den slowenischen Behörden vorab individuelle Zusicherungen im Zusammenhang mit dem Zugang zum Asylverfahren, der Unterbringung und medizinischen Versor- gung einzuholen, weshalb der entsprechende Subeventualantrag abzuwei- sen ist, dass die Vorinstanz demnach zu Recht in Anwendung von Art. 31a Abs. 1 Bst. b AsylG auf das Asylgesuch des Beschwerdeführers nicht eingetreten ist und in Anwendung von Art. 44 AsylG die Wegweisung nach Slowenien angeordnet hat, dass die Beschwerde somit abzuweisen und die Verfügung der Vorinstanz zu bestätigen ist, dass das Beschwerdeverfahren mit vorliegendem Urteil abgeschlossen ist, weshalb sich die Anträge auf Gewährung der aufschiebenden Wirkung der Beschwerde sowie auf Befreiung von der Kostenvorschusspflicht als ge- genstandslos erweisen, dass das mit der Beschwerde gestellte Gesuch um Gewährung der unent- geltlichen Prozessführung abzuweisen ist, da die Begehren – wie sich aus den vorstehenden Erwägungen ergibt – als aussichtlos zu bezeichnen wa- ren, weshalb die Voraussetzungen von Art. 65 Abs. 1 VwVG nicht erfüllt sind, dass bei diesem Ausgang des Verfahrens die Kosten von Fr. 750.– (Art. 1‒</w:t>
      </w:r>
    </w:p>
    <w:p>
      <w:r>
        <w:rPr>
          <w:b/>
        </w:rPr>
        <w:t>E. 3</w:t>
      </w:r>
    </w:p>
    <w:p>
      <w:r>
        <w:t>des Reglements vom 21. Februar 2008 über die Kosten und Entschädi- gungen vor dem Bundesverwaltungsgericht [VGKE, SR 173.320.2]) dem unterliegenden Beschwerdeführer aufzuerlegen sind (Art. 63 Abs. 1 VwVG).</w:t>
      </w:r>
    </w:p>
    <w:p>
      <w:r>
        <w:t>(Dispositiv nächste Seite)</w:t>
      </w:r>
    </w:p>
    <w:p>
      <w:r>
        <w:t>E-2543/2024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