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E-2539/2014 vom 4. Juni 2014</w:t>
      </w:r>
    </w:p>
    <w:p>
      <w:r>
        <w:t>Bundesverwaltungsgericht, 2014-06-04, DE</w:t>
      </w:r>
    </w:p>
    <w:p>
      <w:r>
        <w:rPr>
          <w:b/>
        </w:rPr>
        <w:t xml:space="preserve">Quelle: </w:t>
      </w:r>
      <w:r>
        <w:t>https://mcp.opencaselaw.ch/entscheid/bvger_E-2539_2014</w:t>
      </w:r>
    </w:p>
    <w:p>
      <w:r>
        <w:t>FR: TAF E-2539/2014 du 4 juin 2014</w:t>
      </w:r>
    </w:p>
    <w:p>
      <w:r>
        <w:t>IT: TAF E-2539/2014 del 4 giugno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w:t>
      </w:r>
    </w:p>
    <w:p>
      <w:r>
        <w:t>Im Unterschied zur Vorinstanz hält das Gericht die wesentlichen Schilderungen des Beschwerdeführers nicht für a priori unglaubhaft. Seine Vorbringen erfüllen jedoch nicht die Anforderungen an den Flüchtlingsbegriff. So können den Schilderungen des Beschwerdeführers keine Vorkommnisse entnommen werden, welche einer asylrelevanten Verfolgung gleichkommen oder die Furcht vor einer solchen als begründet erscheinen lassen. Die interessehalber erfolgte, einmalige Teilnahme an einer privaten christlichen Versammlung kann dem Beschwerdeführer noch nicht als Glaubensübertritt ausgelegt werden. Der Beschwerdeführer hat zudem selbst dargelegt, dass er zwar sein Wissen über das Christentum weiter vertiefen möchte, derzeit aber noch nicht konvertiert sei. Sollte sich der Beschwerdeführer dereinst zur Konversion entschliessen, darf festgehalten werden, dass die zahlreichen im Iran lebenden Konvertiten weitgehend von den Behörden unbehelligt bleiben, solange sie ihren Glaubensübertritt geheim halten und ihr Glaubensleben anschliessend diskret pflegen, was das Bundesverwaltungsgericht bereits festgestellt hat (BVGE 2009/28 E. 7.3.5).</w:t>
      </w:r>
    </w:p>
    <w:p>
      <w:r>
        <w:rPr>
          <w:b/>
        </w:rPr>
        <w:t>E. 5.1</w:t>
      </w:r>
    </w:p>
    <w:p>
      <w:r>
        <w:t>Im Folgenden ist zu prüfen, ob der Beschwerdeführer erst durch die Flucht aus dem Heimat- oder Her­kunftsstaat oder wegen seines Verhaltens nach der Ausreise eine Verfol­gung im Sinne von Art. 3 AsylG zu befürchten hat. Personen mit sub­jektiven Nachfluchtgründen erhalten zwar kein Asyl, werden jedoch als Flüchtlinge vorläufig aufgenommen (vgl. BVGE 2009/28 E. 7.1 S. 352 sowie EMARK 2000 Nr. 16 E. 5a, mit weiteren Hinweisen).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w:t>
      </w:r>
    </w:p>
    <w:p>
      <w:r>
        <w:rPr>
          <w:b/>
        </w:rPr>
        <w:t>E. 5.2</w:t>
      </w:r>
    </w:p>
    <w:p>
      <w:r>
        <w:t>Das Bundesverwaltungsgericht geht in konstanter Rechtsprechung davon aus, dass sich die iranischen Geheimdienste auf die Erfassung von Personen konzentrieren, welche über die massentypischen und niedrig profilierten Erscheinungsformen exilpolitischer Proteste hinaus Funktionen wahrnehmen und/oder Aktivitäten entwickeln, die sie aus der Masse der mit dem Regime Unzufriedenen herausheben und als ernsthafte und potentiell gefährliche Regimegegner erscheinen lassen (vgl. BVGE 2009/28 E. 7.4.3 S. 364 ff.).</w:t>
      </w:r>
    </w:p>
    <w:p>
      <w:r>
        <w:rPr>
          <w:b/>
        </w:rPr>
        <w:t>E. 5.3</w:t>
      </w:r>
    </w:p>
    <w:p>
      <w:r>
        <w:t>Die Vorinstanz kommt zum Schluss, dass der Beschwerdeführer über kein politisches Profil verfüge, welches ihn bei der Rückkehr in den Iran einer konkreten Gefährdung aussetzen würde. In der Tat heben sich die vorgebrachten exilpolitischen Tätigkeiten des Beschwerdefüh­rers kaum von den üblichen Aktivitäten ande­rer Iraner ab. Er hat sich in den letzten zehn Monaten an einigen Standaktionen und Demonstrationen gegen das iranische Regime beteiligt, ohne dabei als zentrale Figur in Erscheinung zu treten. Ein "hoher Exponiertheitsgrad", wie ihn der Beschwerdeführer in der Rechtsmitteleingabe geltend machen will, ist jedenfalls nicht zu erkennen, zumal er auf den der Vorinstanz beweishalber eingereichten Abbildungen auch nur schwer zu identifizieren ist.</w:t>
      </w:r>
    </w:p>
    <w:p>
      <w:r>
        <w:rPr>
          <w:b/>
        </w:rPr>
        <w:t>E. 5.4</w:t>
      </w:r>
    </w:p>
    <w:p>
      <w:r>
        <w:t>In Bezug auf die christliche Tätowierung auf dem Unterarm des Beschwerdeführers ist Folgendes festzuhalten: Es gib kein weltweit anerkanntes Recht auf Tätowierung religiöser Motive. Jedenfalls gehört ein Tattoo - egal welcher Art - zumindest im christlichen Kontext nicht zum unverzichtbaren Bestand der persönlichen Glaubensausübung. Sollte der Beschwerdeführer infolge der Tätowierung Probleme mit den iranischen Behörden befürchten, wäre es ihm also durchaus zuzumuten, das Tattoo insgesamt oder die wenigen religionstypischen Motive der Tätowierung - Kreuz und Text - wieder zu entfernen. Soweit er in der Rechtsmitteleingabe im Urteil des BVGer D-891/2013 vom 17. Januar 2014 eine Anerkennung als Flüchtling aufgrund einer christlich orientierten Tätowierung erkennen will, ist dieses unbehelflich; erfolgte die Flüchtlingsanerkennung dort doch vielmehr aufgrund einer langjährig manifestierten Regimegegnerschaft und offen gelebten Homosexualität, wobei die christliche Tätowierung eine gänzlich untergeordnete Rolle spielte.</w:t>
      </w:r>
    </w:p>
    <w:p>
      <w:r>
        <w:rPr>
          <w:b/>
        </w:rPr>
        <w:t>E. 5.5</w:t>
      </w:r>
    </w:p>
    <w:p>
      <w:r>
        <w:t>Zusammenfassend ist unter diesen Umständen somit festzustellen, dass es dem Beschwerdeführer nicht gelungen ist, asylrechtlich relevante Verfolgungsgründe im Sinne von Art. 3 und Art. 7 AsylG glaubhaft zu machen, weshalb die Vorinstanz die Flüchtlingseigenschaft zu Recht verneinte und das Asylgesuch ablehnte.</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Ist der Vollzug der Wegweisung nicht zulässig, nicht zumutbar oder nicht möglich, regelt das Bundesamt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Beschwerdeführer konnte keine asylrelevanten Vorbringen geltend machen. Entgegen seinen Ausführungen ergeben sich nach den erfolgten Erwägungen und aufgrund der Akten keine konkrete Anhaltspunkte dafür, dass er für den Fall einer Ausschaffung in den Iran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Im Iran herrscht keine Situation allgemeiner Gewalt, weshalb in konstanter Praxis von der generellen Zumutbarkeit des Wegweisungsvollzugs dorthin ausgegangen wird (vgl. statt vieler Urteil des BVGer D-1068/2012 vom 30. April 2012). Beim Beschwerdeführer handelt es sich um einen jungen gesunden Mann mit Berufserfahrung, wie die Vorinstanz korrekt festgestellt hat. Den Akten lässt sich entnehmen, dass er über Bekannte verfügt, welche ihn bei seiner Rückkehr im Heimatland unterstützen können. Der Vollzug der Wegweisung des Beschwerdeführers ist demnach zumutbar.</w:t>
      </w:r>
    </w:p>
    <w:p>
      <w:r>
        <w:rPr>
          <w:b/>
        </w:rPr>
        <w:t>E. 7.4</w:t>
      </w:r>
    </w:p>
    <w:p>
      <w:r>
        <w:t>Der Vollzug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7.5</w:t>
      </w:r>
    </w:p>
    <w:p>
      <w:r>
        <w:t>Die Vorinstanz hat den Vollzug demnach zu Recht als zulässig, zumutbar und möglich bezeichnet. Damit fällt die Anordnung einer vorläufigen Aufnahme ausser Betracht (Art. 83 Abs. 1 - 4 AuG).</w:t>
      </w:r>
    </w:p>
    <w:p>
      <w:r>
        <w:rPr>
          <w:b/>
        </w:rPr>
        <w:t>E. 8</w:t>
      </w:r>
    </w:p>
    <w:p>
      <w:r>
        <w:t>Nach dem Gesagten ergibt sich, dass die angefochtene Verfügung Bundesrecht nicht verletzt und auch sonst nicht zu beanstanden ist (Art. 106 Abs. 1 AsylG). Die Beschwerde ist abzuweisen.</w:t>
      </w:r>
    </w:p>
    <w:p>
      <w:r>
        <w:rPr>
          <w:b/>
        </w:rPr>
        <w:t>E. 9</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Den Ersuchen um Gewährung der unentgeltlichen Prozessführung sowie der unentgeltlichen Verbeiständung kann nicht stattgegeben werden, weil seine Begehren als aussichtlos zu gelten haben und die Bedürftigkeit nicht ausgewiesen wurde (Art. 65 VwVG; Art. 110a Abs. 1 Bst. a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