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E-2533/2019 vom 29. Mai 2019</w:t>
      </w:r>
    </w:p>
    <w:p>
      <w:r>
        <w:t>Bundesverwaltungsgericht, 2019-05-29, DE</w:t>
      </w:r>
    </w:p>
    <w:p>
      <w:r>
        <w:rPr>
          <w:b/>
        </w:rPr>
        <w:t xml:space="preserve">Quelle: </w:t>
      </w:r>
      <w:r>
        <w:t>https://mcp.opencaselaw.ch/entscheid/bvger_E-2533_2019</w:t>
      </w:r>
    </w:p>
    <w:p>
      <w:r>
        <w:t>FR: TAF E-2533/2019 du 29 mai 2019</w:t>
      </w:r>
    </w:p>
    <w:p>
      <w:r>
        <w:t>IT: TAF E-2533/2019 del 29 maggio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2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der Verordnung über die Durchführung von Testphasen zu den Beschleunigungsmassnahmen im Asylbereich [TestV, SR 142.318.1] i.V.m. Art. 112b Abs. 3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einzelne Vorbringen ausdrücklich widerlegt (BGE 141 IV 249 E. 1.3.1; BVGE 2008/47 E. 3.2 m.w.H.). Die Begründungspflicht soll der betroffenen Person ermöglichen, die Verfügung gegebenenfalls sachgerecht anzufechten. In diesem Sinne kann sich die Vorinstanz auf die für den Entscheid wesentlichen Gesichtspunkte beschränken (vgl. ausführlich BGE 2013/43 E. 4, mit weiteren Hinweisen).</w:t>
      </w:r>
    </w:p>
    <w:p>
      <w:r>
        <w:rPr>
          <w:b/>
        </w:rPr>
        <w:t>E. 5.2</w:t>
      </w:r>
    </w:p>
    <w:p>
      <w:r>
        <w:t>Zunächst ist festzustellen, dass, wie im Weiteren zu erläutern sein wird, den Vorbringen des Beschwerdeführers klarerweise keine asylrechtliche Relevanz beigemessen werden kann, weshalb den von ihm eingereichten und in Aussicht gestellten Beweismitteln keine ausschlaggebende Bedeutung beizumessen ist. Entgegen der Auffassung des Beschwerdeführers ist demnach die Beweiswürdigung der Vorinstanz ebenso wenig zu beanstanden wie der Umstand, dass sie auf weitergehende Sachverhaltsabklärungen verzichtet hat. Das SEM hat sich mit den wesentlichen Vorbringen des Beschwerdeführers in erforderlichem Umfang auseinandergesetzt, in der angefochtenen Verfügung die Überlegungen genannt, auf welche es seinen Entscheid stützte, und sich in seiner Begründung auf die vom Beschwerdeführer vorgebrachten Asylgründe gestützt. Insbesondere begründete es in der angefochtenen Verfügung in hinreichender Ausführlichkeit, aus welchen Gründen es die Vorbringen des Beschwerdeführers als unglaubhaft und deshalb weitergehende Abklärungen als unnötig erachtete. Insgesamt ist die vorinstanzliche Verfügung so abgefasst, dass sich der Beschwerdeführer über die Tragweite des Entscheids ein Bild machen konnte; wie die Beschwerdeschrift zeigt, war es ihm denn auch ohne Weiteres möglich, diese Verfügung sachgerecht anzufechten.</w:t>
      </w:r>
    </w:p>
    <w:p>
      <w:r>
        <w:rPr>
          <w:b/>
        </w:rPr>
        <w:t>E. 5.3</w:t>
      </w:r>
    </w:p>
    <w:p>
      <w:r>
        <w:t>Die verfahrensrechtlichen Rügen des Beschwerdeführers erweisen sich demnach als ungerechtfertigt.</w:t>
      </w:r>
    </w:p>
    <w:p>
      <w:r>
        <w:rPr>
          <w:b/>
        </w:rPr>
        <w:t>E. 6.1</w:t>
      </w:r>
    </w:p>
    <w:p>
      <w:r>
        <w:t>In Übereinstimmung mit der Vorinstanz gelangt das Gericht zum Schluss, dass sich in Anbetracht der wenig substanziierten Ausführungen des Beschwerdeführers zu den behaupteten Drohungen seiner Schwäger gewisse Zweifel an diesen Vorbringen rechtfertigen. Die Frage ob diese den Anforderungen an die Glaubhaftigkeit gemäss Art. 7 AsylG zu genügen vermögen, kann aber letztlich offengelassen werden, da diesen jedenfalls keine asylrechtliche Relevanz beigemessen werden kann: Zum einen liegt den vom Beschwerdeführer geschilderten Repressalien aufgrund familiärer Streitigkeiten offensichtlich keines der in Art. 3 AsylG abschliessend genannten Verfolgungsmotive zugrunde. Zudem kann nach den Erkenntnissen des Gerichts mit dem SEM davon ausgegangen werden, dass die algerischen Sicherheitsbehörden in der Lage sind, hinreichenden Schutz vor nicht-staatlicher Verfolgung zu gewährleisten und sie grundsätzlich schutzfähig und -willig bezeichnet werden können (vgl. Urteil des BVGer E-6848/2018 vom 18. Dezember 2018, E. 5.3; UK Home Office, Country Policy and Information Note, Algeria: Background information, including actors of protection and internal relocation August 2017 S. 5 f. und S. 19 f., mit weiteren Hinweisen). Bei der Behauptung des Beschwerdeführers, seine Verfolger hätten aufgrund ihres Einflusses bei den Behörden die Entgegennahme seiner Strafanzeige vereitelt, handelt es sich um eine blosse Vermutung, für die er keine konkreten Anhaltspunkte vorzubringen vermag. Aus einem allfälligen Fehlverhalten einzelner Beamter der Sicherheitskräfte kann zudem nicht auf eine generelle Schutzverweigerung seitens der algerischen Sicherheitskräfte geschlossen werden.</w:t>
      </w:r>
    </w:p>
    <w:p>
      <w:r>
        <w:rPr>
          <w:b/>
        </w:rPr>
        <w:t>E. 6.2</w:t>
      </w:r>
    </w:p>
    <w:p>
      <w:r>
        <w:t>Bezüglich der geltend gemachten Furcht vor staatlicher Verfolgung aufgrund einer von ihm nicht beglichenen Steuerforderung kann zur Vermeidung von Wiederholungen vollumfänglich auf die zutreffenden Erwägungen in der angefochtenen Verfügung verwiesen werden. Diesen hält der Beschwerdeführer in seiner Rechtsmitteleingabe denn auch nichts entgegen, weshalb vorliegend nicht weiter darauf einzugehen ist.</w:t>
      </w:r>
    </w:p>
    <w:p>
      <w:r>
        <w:rPr>
          <w:b/>
        </w:rPr>
        <w:t>E. 6.3</w:t>
      </w:r>
    </w:p>
    <w:p>
      <w:r>
        <w:t>Insgesamt spricht aufgrund der Akten nichts für die Annahme, der Beschwerdeführer wäre in seiner Heimat aus einem flüchtlingsrechtlich relevanten Grund gezielt gegen seine Person gerichteten Verfolgungshandlungen ausgesetzt, Demzufolge ist festzuhalten, dass es dem Beschwerdeführer nicht gelungen ist, eine Verfolgungsgefahr im Sinne von Art. 3 AsylG nachzuweisen oder glaubhaft darzutun.</w:t>
      </w:r>
    </w:p>
    <w:p>
      <w:r>
        <w:rPr>
          <w:b/>
        </w:rPr>
        <w:t>E. 6.4</w:t>
      </w:r>
    </w:p>
    <w:p>
      <w:r>
        <w:t>Die Vorinstanz hat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Vorab ist festzuhalten, dass in Algerien weder Krieg, Bürgerkrieg noch eine Situation allgemeiner Gewalt herrscht, weshalb der Wegweisungsvollzug diesbezüglich als zumutbar zu bezeichnen ist.</w:t>
      </w:r>
    </w:p>
    <w:p>
      <w:r>
        <w:rPr>
          <w:b/>
        </w:rPr>
        <w:t>E. 8.3.2</w:t>
      </w:r>
    </w:p>
    <w:p>
      <w:r>
        <w:t>Ferner sind auch keine individuellen Gründe ersichtlich, welche die Rückkehr des Beschwerdeführers nach Algerien als unzumutbar erscheinen lassen würden. Er verfügt über berufliche Erfahrung in verschiedenen Branchen sowie mit seinen Eltern und Geschwistern in D._______ mutmasslich über ein gutes und tragfähiges Beziehungsnetz. Es deutet nichts darauf hin, dass aus Gründen wirtschaftlicher, sozialer oder gesundheitlicher Natur bei einer Rückkehr in eine existenzbedrohende Situation geraten würde. Die von ihm geltend gemachte Gefährdung durch die Familie seiner Ex-Ehefrau vermag in Anbetracht des im Heimatstaat verfügbaren Schutzes (vgl. oben, E. 6.1) an dieser Einschätzung nichts zu ändern.</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