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E-2530/2013 vom 20. Juni 2013</w:t>
      </w:r>
    </w:p>
    <w:p>
      <w:r>
        <w:t>Bundesverwaltungsgericht, 2013-06-20, DE</w:t>
      </w:r>
    </w:p>
    <w:p>
      <w:r>
        <w:rPr>
          <w:b/>
        </w:rPr>
        <w:t xml:space="preserve">Quelle: </w:t>
      </w:r>
      <w:r>
        <w:t>https://mcp.opencaselaw.ch/entscheid/bvger_E-2530_2013</w:t>
      </w:r>
    </w:p>
    <w:p>
      <w:r>
        <w:t>FR: TAF E-2530/2013 du 20 juin 2013</w:t>
      </w:r>
    </w:p>
    <w:p>
      <w:r>
        <w:t>IT: TAF E-2530/2013 del 20 giugno 2013</w:t>
      </w:r>
    </w:p>
    <w:p>
      <w:pPr>
        <w:pStyle w:val="Heading2"/>
      </w:pPr>
      <w:r>
        <w:t>Regeste</w:t>
      </w:r>
    </w:p>
    <w:p>
      <w:r>
        <w:t>Asylgesuch aus dem Ausland und Einreisebewilligung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Art. 19 f., Art. 41 Abs. 2, Art. 52 und Art. 68 AsylG in der bisherigen Fassung gelten. 4.1 Gemäss aArt. 19 Abs. 1 AsylG kann ein Asylgesuch bei einer schweizerischen Vertretung im Ausland gestellt werden. Diese führt in der Regel mit der asylsuchenden Person eine Befragung durch. Ist dies nicht möglich, ist die Person aufzufordern, ihre Asylgründe schriftlich darzulegen (Art. 10 der Asylverordnung 1 vom 11. August 1999 über Verfahrensfragen [AsylV 1, SR 142.311]). Die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(aArt. 20 Abs. 1 und 2 AsylG). 4.2 Vorliegend wurde von Seiten der schweizerischen Botschaft in Bogotá aus Kapazitätsgründen auf die Durchführung einer Befragung verzichtet und das schriftliche Gesuch der Beschwerdeführenden direkt ans BFM überwiesen. In der Folge gelangte das BFM nach Prüfung der Akten zum Schluss, der entscheidrelevante Sachverhalt sei bereits aufgrund der schriftlichen Begründung des Asylgesuches und der eingereichten ausführlichen Dokumentation als erstellt zu erachten. Über diesen Schluss wurden die Beschwerdeführenden mit Schreiben des BFM vom 5. November 2012 in Kenntnis gesetzt, wobei sie - zwecks Wahrung des rechtlichen Gehörs - vom BFM gleichzeitig zur Stellungnahme eingeladen wurden. Dabei wurde ihnen vom BFM eröffnet, dass eine Abweisung der Asylgesuche in Erwägung gezogen werde, unter gleichzeitiger Bekanntgabe der entsprechenden Gründe (Möglichkeit einer anderweitigen Schutzsuche). Die Beschwerdeführenden haben indes von der Möglichkeit zur Stellungnahme keinen Gebrauch gemacht. 4.3 Vor dem Hintergrund der massgeblichen Praxis zur Behandlung von Asylgesuchen aus dem Ausland sowie unter Berücksichtigung der gesamten Aktenlage ist festzustellen, dass in vorliegender Sache auf eine Befragung der Beschwerdeführenden verzichtet werden durfte und dass mit der Einladung zur Stellungnahme vom 5. November 2012 den massgeblichen verfahrensrechtlichen Anforderungen Genüge getan wurde (vgl. dazu BVGE 2007/30 E 5.6 ff.).</w:t>
      </w:r>
    </w:p>
    <w:p>
      <w:r>
        <w:rPr>
          <w:b/>
        </w:rPr>
        <w:t>E. 5.1</w:t>
      </w:r>
    </w:p>
    <w:p>
      <w:r>
        <w:t>Das Bundesamt kann ein im Ausland gestelltes Asylgesuch ablehnen, wenn die asylsuchende Person keine Verfolgung glaubhaft machen kann (Art. 3 und Art. 7 AsylG) oder ihr die Aufnahme in einen Drittstaat zugemutet werden kann (aArt. 52 Abs. 2 AsylG). Die Voraussetzungen für die Erteilung einer Einreisebewilligung sind grundsätzlich restriktiv umschrieben. Den Asylbehörden kommt dabei ein weiter Ermessensspielraum zu. Neben der erforderlichen Gefährdung i.S.v.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d.h. die Beantwortung der Fragen, ob eine Gefährdung i.S.v. Art. 3 AsylG glaubhaft erscheint und der Verbleib am Aufenthaltsort für die Dauer der Sachverhaltsabklärung zugemutet werden kann, bzw. ob der betreffenden Person - ohne nähere Prüfung einer allfälligen Gefährdung i.S.v. Art. 3 AsylG - zuzumuten ist, sich in einem anderen Staat um Aufnahme zu bemühen (vgl. BVGE 2011/10 E. 3 m.w.H.; Entscheidungen und Mitteilungen der Schweizerischen Asylrekurskommission [EMARK] 2005 Nr. 19 E. 4; EMARK 2004 Nr. 20 E. 3b).</w:t>
      </w:r>
    </w:p>
    <w:p>
      <w:r>
        <w:rPr>
          <w:b/>
        </w:rPr>
        <w:t>E. 5.2</w:t>
      </w:r>
    </w:p>
    <w:p>
      <w:r>
        <w:t>Das Bundesverwaltungsgericht gelangt nach Prüfung der Akten zum Schluss, dass die Vorinstanz zutreffend festgestellt hat, dass Kolumbien über eine funktionierende und effiziente Schutzinfrastruktur (insbesondere über einen funktionierenden Polizeiapparat sowie über ein Rechts- und Justizsystem) verfügt, die eine effektive Strafverfolgung ermöglicht. Die Inanspruchnahme eines solchen innerstaatlichen Schutzsystems muss für die Betroffenen einerseits objektiv zugänglich sein; anderseits muss sie für die schutzbedürftigen Personen auch individuell zumutbar sein (vgl. EMARK 2006 Nr. 18 E. 10.3.2). Diese Voraussetzungen sind vorliegend erfüllt, da die Beschwerdeführerin gegen die Verdächtigen eine Strafanzeige einreichen konnte - auch wenn sie nun zusätzlich mit der Drohung konfrontiert sei, sie solle die Anzeige zurückziehen - und ihr Polizeischutz zugestanden wurde. Zudem ist es, wie die Vorinstanz in ausführlicher Weise schon erwog, den Beschwerdeführenden zuzumuten, ein neues Domizil in einer anderen Region von Kolumbien zu suchen (statt nur innerhalb der Region zu wechseln) oder sich in einem Nachbarstaat oder in einem anderen südamerikanischen Land um Aufnahme zu bemühen. Anderweitige Anhaltspunkte sind in den Akten nicht erkennbar, die darauf schliessen lassen, es sei den Beschwerdeführenden praktisch unmöglich oder objektiv nicht zumutbar, sich einen neuen Wohnsitz zu suchen.</w:t>
      </w:r>
    </w:p>
    <w:p>
      <w:r>
        <w:rPr>
          <w:b/>
        </w:rPr>
        <w:t>E. 5.3</w:t>
      </w:r>
    </w:p>
    <w:p>
      <w:r>
        <w:t>Zusammenfassend ist festzustellen, dass es den Beschwerdeführenden nicht gelungen ist, eine aktuelle Verfolgung i.S.v. Art. 3 AsylG oder eine Beziehungsnähe zur Schweiz darzulegen. Das BFM hat demnach den Beschwerdeführenden zu Recht die Einreise in die Schweiz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7</w:t>
      </w:r>
    </w:p>
    <w:p>
      <w:r>
        <w:t>Bei diesem Ausgang des Verfahrens wären die Kosten grundsätzlich den Beschwerdeführenden aufzuerlegen (Art. 63 Abs. 1 VwVG). Aus verwaltungsökonomischen Gründen wird indessen in Anwendung von Art. 6 des Reglements vom 21. Februar 2008 über die Kosten und Entschädigungen vor dem Bundesverwaltungsgericht (VGKE, SR 173.320.2) auf die Erhebung von Verfahrenskosten verzeichtet.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