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E-2528/2020 vom 23. Juni 2020</w:t>
      </w:r>
    </w:p>
    <w:p>
      <w:r>
        <w:t>Bundesverwaltungsgericht, 2020-06-23, DE</w:t>
      </w:r>
    </w:p>
    <w:p>
      <w:r>
        <w:rPr>
          <w:b/>
        </w:rPr>
        <w:t xml:space="preserve">Quelle: </w:t>
      </w:r>
      <w:r>
        <w:t>https://mcp.opencaselaw.ch/entscheid/bvger_E-2528_2020</w:t>
      </w:r>
    </w:p>
    <w:p>
      <w:r>
        <w:t>FR: TAF E-2528/2020 du 23 juin 2020</w:t>
      </w:r>
    </w:p>
    <w:p>
      <w:r>
        <w:t>IT: TAF E-2528/2020 del 23 giugno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 sind als Verfügungsadressaten zur Beschwerdeführung legitimiert (Art. 48 VwVG). Auf die frist- und formgerecht eingereichte Beschwerde ist einzutreten (aArt. 108 Abs. 1 AsylG und Art. 52 Abs. 1 VwVG).</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w:t>
      </w:r>
    </w:p>
    <w:p>
      <w:r>
        <w:t>Die Beschwerdeführer machen formelle Rügen geltend, die vorab zu prüfen sind, da sie zu einer Kassation der angefochtenen Verfügung führen können.</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Aus dem Akteneinsichtsrecht als Teilgehalt des rechtlichen Gehörs folgt, dass grundsätzlich sämtliche beweiserheblichen Akten den Beteiligten offenzulegen sind, sofern in der sie unmittelbar betreffenden Verfügung darauf abgestellt wird (BGE 132 V 387 E. 3.1 f.). Die Wahrnehmung des Akteneinsichts- und Beweisführungsrechts durch die von einer Verfügung betroffene Person setzt die Einhaltung der Aktenführungspflicht der Verwaltung voraus, gemäss welcher die Behörden alles in den Akten festzuhalten haben, was zur Sache gehört und für den Entscheid wesentlich sein kann (BGE 130 II 473 E. 4.1 m.w.H.). Der Anspruch auf Akteneinsicht setzt eine geordnete, übersichtliche und vollständige Aktenführung (Ablage, Paginierung und Registrierung der vollständigen Akten im Aktenverzeichnis) voraus (vgl. BVGE 2012/24 E. 3.2, 2011/37 E. 5.4.1).</w:t>
      </w:r>
    </w:p>
    <w:p>
      <w:r>
        <w:rPr>
          <w:b/>
        </w:rPr>
        <w:t>E. 5.2</w:t>
      </w:r>
    </w:p>
    <w:p>
      <w:r>
        <w:t>Was die Akteneinsicht anbelangt, war der Rechtsvertreter nach der Antwort der Vorinstanz auf sein Akteneinsichtsgesuch vom 28. Februar 2020 offensichtlich nicht der Ansicht, die Akten seien unvollständig zugestellt worden, ansonsten er umgehend hätte remonstrieren müssen, was nicht geschehen ist (Urteil BVGer E-1670/2014 vom 14. April 2014 E. 5.4). Verletzungen des Akteneinsichtsrechts oder der Aktenführungspflicht sind den Akten auch keine zu entnehmen. Die Beschwerdeführer monieren insbesondere, dass nicht überprüft werden könne, wer die Botschaftsabklärungen und Äusserungen tatsächlich getätigt habe. Die Vorinstanz beruft sich hierbei zu Recht auf Geheimhaltungsinteressen in Bezug auf die Identität in- und ausländischer Informanten und Kontaktpersonen sowie betreffend Angaben über Art und Methoden der Informationsbeschaffung durch die Schweizerische Botschaft. Diese Geheimhaltungsinteressen sind gemäss Rechtsprechung gewichtig und geeignet, den Grundsatz des Rechtes auf Akteneinsicht einzuschränken (Art. 27 Abs. 1 Bst. a und b VwVG; vgl. Entscheidungen und Mitteilungen der Schweizerischen Asylrekurskommission [EMARK] 1994 Nr. 1 E. 4c). Ferner ergibt sich der wesentliche Inhalt der Botschaftsabklärung ohne Weiteres aus der anonymisierten Version dieser Dokumente (SEM-Akte A56/5 und A38/7). Ein Anspruch auf Offenlegung der anonymisierten Passagen - vorliegend drei kurze Abschnitte lediglich im ersten Abklärungstext - besteht somit nicht. Der wesentliche Inhalt der Botschaftsabklärung wurde den Beschwerdeführern ferner bereits im Rahmen des rechtlichen Gehörs zur Kenntnis gebracht und sie haben dazu Stellung nehmen können; das rechtliche Gehör wurde korrekt gewährt. Die Behauptung auf Beschwerdeebene, die Botschaftsabklärungen seien via E-Mail durchgeführt worden, trifft nicht zu. Die Botschaftsabklärungen sind weder in formeller noch in materieller Hinsicht zu beanstanden. Es sind mithin keine Gründe ersichtlich, weshalb sich die Vorinstanz nicht auch auf die entsprechenden Ergebnisse hätte stützen können. Schliesslich ist die Verfügung der Vorinstanz ausreichend begründet, zumal sie sich nicht mit jedem einzelnen Vorbringen auseinandersetzen muss. Dass eine sachgerechte Anfechtung möglich war, zeigt die Beschwerde selbst. Der Begründungspflicht ist mithin ebenfalls Genüge getan.</w:t>
      </w:r>
    </w:p>
    <w:p>
      <w:r>
        <w:rPr>
          <w:b/>
        </w:rPr>
        <w:t>E. 6.1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6.2</w:t>
      </w:r>
    </w:p>
    <w:p>
      <w:r>
        <w:t>Die Rügen zur rechtsfehlerhaften Sachverhaltsfeststellung gehen fehl. Zusätzliche Abklärungen würden weder zu neuen sachdienlichen Erkenntnissen führen noch wären sie im vorinstanzlichen Verfahren entscheiderheblich gewesen. Vor dem Hintergrund der vorgelegten Fälschungen und der unglaubhaften Fluchtgeschichte der Beschwerdeführer (hierzu E. 8) war die Vorinstanz nicht gehalten, weitere Abklärungen über andere Familienmitglieder - die lediglich die vorgetragenen Geschehnisse beziehungsweise Suchaktionen bestätigen sollten - zu tätigen, zumal sie keine Reflexverfolgung geltend machten. Der Beweisantrag, es seien amtliche Auskünfte bei den Geschwistern vor Ort einzuholen und es seien diese für die Gründe, die zur Flucht der Beschwerdeführer geführt hätten, als Zeugen zu befragen, ist aus demselben Grund in antizipierter Beweiswürdigung abzuweisen. Schliesslich können die Beschwerdeführer, die vor Ergehen der angefochtenen Verfügung keine formelle Rechtsverzögerungsbeschwerde eingereicht haben, aus der Dauer des Verfahrens ebenfalls nichts zu ihren Gunsten ableiten. Wie im Folgenden zu zeigen sein wird, sind auch die Beweiswürdigung und die Rechtsanwendung der Vorinstanz nicht zu beanstanden.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7.2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7.3</w:t>
      </w:r>
    </w:p>
    <w:p>
      <w:r>
        <w:t>Die Flüchtlingseigenschaft muss nachweisen oder zumindest glaubhaft machen, wer um Asyl nachsucht (Art. 7 Abs. 1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2 und 3 AsylG). Das Bundesverwaltungsgericht hat die Anforderungen an das Glaubhaftmachen der Vorbringen in einem publizierten Entscheid dargelegt und folgt dabei ständiger Praxis. Darauf kann hier verwiesen werden (BVGE 2015/3 E. 6.5.1, m.w.H.).</w:t>
      </w:r>
    </w:p>
    <w:p>
      <w:r>
        <w:rPr>
          <w:b/>
        </w:rPr>
        <w:t>E. 8.1</w:t>
      </w:r>
    </w:p>
    <w:p>
      <w:r>
        <w:t>Nach Prüfung der Akten durch das Gericht ist in Übereinstimmung mit der Vorinstanz festzustellen, dass die Vorbringen der Beschwerdeführer weder den Anforderungen an die Flüchtlingseigenschaft gemäss Art. 3 AsylG noch denjenigen an das Glaubhaftmachen gemäss Art. 7 AsylG standzuhalten vermögen, weshalb vorab auf die zutreffenden Erwägungen der Vorinstanz zu verweisen ist, die insbesondere zum Schluss kam, die Asylvorbringen der Beschwerdeführer seien unglaubhaft, weil sie sich auf gefälschte Dokumente stützen würden. So sind insbesondere Vorbringen unglaubhaft, die massgeblich auf gefälschte oder verfälschte Beweismittel abgestützt werden (Art. 7 Abs. 3 AsylG). Die ins Recht gelegten Gerichtsurkunden weisen mehrere Fälschungsmerkmale auf. Vor diesem Hintergrund hat die Vorinstanz - nach vertieften Abklärungen der Schweizerischen Vertretung vor Ort - zutreffend festgestellt, dass es sich hierbei um Fälschungen handelt. Was die Beschwerdeführer hiergegen im Rahmen des rechtlichen Gehörs oder auf Beschwerdeebene vorgebracht haben, vermag nicht zu überzeugen beziehungsweise die umfangreichen Abklärungen der Schweizerischen Vertretung nicht in Frage zu stellen. Indem die Beschwerdeführer ihre Vorbringen massgeblich auf gefälschte Gerichtsurkunden abgestützt haben, ist ihren Asylgründen der Boden entzogen. Hinzu kommt, dass sich die Vorbringen mehrheitlich auf Informationen von Freunden und der Familie stützen (behördliche Suchaktionen). Vorbringen, die sich jedoch lediglich auf Informationen Dritter stützen, sind nicht nur stereotyp, mithin unglaubhaft, sondern genügen auch nicht den Anforderungen an eine Verfolgung im asylrechtlichen Sinne (vgl. Urteile des BVGer E-801/2015 vom 6. Oktober 2017 E. 3.7, E-4329/2006 vom 17. Oktober 2011 E. 4.4, «Le Tribunal rappelle également que, de pratique constante, il considère que le fait d'avoir appris un événement par des tiers ne suffit pas pour établir l'existence d'une crainte fondée de future persécution», vgl. auch D-6056/2016 vom 19. Januar 2018 E. 5.2). Schliesslich trifft zwar zu, dass die Ausführungen der Beschwerdeführer wortreich ausgefallen sind. Die protokollierten Vorbringen hinterlassen dennoch einen stereotypen Eindruck und zentrale Handlungen (namentlich: Aufbewahrung und Weitergabe heikler Flugblätter im öffentlich zugänglichen Salon des Beschwerdeführers; für Dritte sichtbare Übergabe von Alkohol; kein Detailwissen über den Inhalt der Flugblätter usw.) entbehren jeglicher Logik; ihnen ist auch aus diesem Grund die Glaubhaftigkeit abzusprechen. Das auf Beschwerdeebene eingereichte, undatierte Schreiben von Familienmitgliedern des Beschwerdeführers (Mutter, Schwester, Brüder), mit dem belegt werden soll, dass die Familie des Beschwerdeführers seit der Flucht der Beschwerdeführer im Visier der regimetreuen Institutionen im Iran stehen sollen, ist als Gefälligkeitsschreiben mit geringem Beweiswert einzustufen. Es ist nicht geeignet, die unglaubhaften Fluchtvorbringen in ein glaubhaftes Licht zu rücken beziehungsweise die Fälschungen nachvollziehbar zu erklären. Was die exilpolitische Tätigkeit des Beschwerdeführers anbelangt, ist der Vorinstanz ebenfalls darin beizupflichten, dass diese nicht auf eine Gefährdung des Beschwerdeführers schliessen lassen, geht das Bundesverwaltungsgericht doch davon aus, dass die iranischen Sicherheitsbehörden durchaus in der Lage sind, zwischen politisch engagierten iranischen Staatsangehörigen, die das Regime zu gefährden vermöchten, und exilpolitisch engagierten Personen, die es geradezu darauf anlegen, sich durch ihre Aktionen bekannt zu machen, zu unterscheiden (vgl. BVGE 2009/28 E. 7.4.3 und das Referenzurteil des BVGer D-830/2016 vom 20. Juli 2016). Das dargelegte Engagement des Beschwerdeführers (auch im Internet) geht nicht über die massentypischen und niedrigprofilierten Erscheinungsformen exilpolitischer Proteste gegen das iranische Regime hinaus und er übt auch keine weiteren Aktivitäten aus, die ihn als ernsthaften und potenziell gefährlichen Regimegegner erscheinen lassen könnten. Auf Beschwerdeebene wird dem nichts entgegengestellt.</w:t>
      </w:r>
    </w:p>
    <w:p>
      <w:r>
        <w:rPr>
          <w:b/>
        </w:rPr>
        <w:t>E. 8.2</w:t>
      </w:r>
    </w:p>
    <w:p>
      <w:r>
        <w:t>Angesichts der aufgezeigten Sachlage erübrigt es sich auf weitere Ausführungen in der Beschwerde mit Verweisen auf die Rechtsprechung oder auf die Berichte der Schweizerischen Flüchtlingshilfe einzugehen, da diese nicht geeignet sind, zu einer anderen rechtlichen Würdigung der Aktenlage zu führen. Auch können die Beschwerdeführer weder aus einer allfällig illegalen Ausreise noch aus einer längeren Landesabwesenheit etwas zu ihren Gunsten ableiten. Es ist somit festzustellen, dass es den Beschwerdeführern nicht gelungen ist, einen glaubhaften beziehungsweise flüchtlingsrechtlich bedeutsamen Sachverhalt darzulegen. Die Feststellung der Vorinstanz, die Beschwerdeführer erfüllten die Flüchtlingseigenschaft nicht, ist dementsprechend zu bestätigen. Die Vorinstanz hat die Asylgesuche zu Recht abgelehnt.</w:t>
      </w:r>
    </w:p>
    <w:p>
      <w:r>
        <w:rPr>
          <w:b/>
        </w:rPr>
        <w:t>E. 9</w:t>
      </w:r>
    </w:p>
    <w:p>
      <w:r>
        <w:t>Gemäss Art. 44 AsylG verfügt das Staatssekretariat in der Regel die Wegweisung aus der Schweiz, wenn es das Asylgesuch ablehnt oder darauf nicht eintritt. Die Beschwerdeführer verfügen weder über eine ausländerrechtliche Aufenthaltsbewilligung noch über einen Anspruch auf Erteilung einer solchen (BVGE 2009/50 E. 9 S. 733). Die Wegweisung wurde zu Recht angeordnet.</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10.2</w:t>
      </w:r>
    </w:p>
    <w:p>
      <w:r>
        <w:t>Nach Art. 83 Abs. 3 AIG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Anhaltspunkte dafür, dass die Beschwerdeführer für den Fall einer Ausschaffung in den Iran dort mit beachtlicher Wahrscheinlichkeit einer nach Art. 3 EMRK oder Art. 1 FoK verbotenen Strafe oder Behandlung ausgesetzt wären. Die entsprechenden und nicht weiter vertieften Beschwerdeausführungen gehen ins Leere. Der Vollzug der Wegweisung ist zulässig.</w:t>
      </w:r>
    </w:p>
    <w:p>
      <w:r>
        <w:rPr>
          <w:b/>
        </w:rPr>
        <w:t>E. 10.3</w:t>
      </w:r>
    </w:p>
    <w:p>
      <w:r>
        <w:t>Nach Art. 83 Abs. 4 AIG kann der Vollzug für Ausländerinnen und Ausländer unzumutbar sein, wenn sie im Heimat- oder Herkunftsstaat auf Grund von Situationen wie Krieg, Bürgerkrieg, allgemeiner Gewalt und medizinischer Notlage konkret gefährdet sind. Die allgemeine Lage im Heimatstaat der Beschwerdeführer ist nicht von einer landesweiten Situation von Krieg, Bürgerkrieg oder allgemeiner Gewalt geprägt. Auch in individueller Hinsicht sind keine Gründe ersichtlich, die eine Wegweisung als unzumutbar erscheinen liessen. Die gebildeten Beschwerdeführer verfügen über Berufserfahrung sowie über ein intaktes familiäres Beziehungsnetz vor Ort, auf dessen Hilfe sie bei Bedarf zurückgreifen können. Auf Beschwerdeebene wird dem nichts Stichhaltiges entgegengestellt. Die Schwerhörigkeit der Beschwerdeführerin, die mit ihrer Familie reisen wird und die sich insbesondere auf die Hilfe ihres Ehemannes stützen kann, ist nicht geeignet, an der Zumutbarkeit des Wegweisungsvollzugs etwas zu ändern. Im Übrigen soll sie hierunter bereits seit jungen Jahren leiden; trotzdem konnte sie sich im Alltagsleben offensichtlich behaupten (z. B. SEM-Akten A4 Ziff. 8.02, A5 Ziff. Bst. h oder Ziff. 1.17 Schule und Arbeit). Schliesslich steht die Corona-Pandemie dem Wegweisungsvollzug ebenfalls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bereits EMARK 1995 Nr. 14 E. 8d f.).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 Der Vollzug der Wegweisung ist zumutbar.</w:t>
      </w:r>
    </w:p>
    <w:p>
      <w:r>
        <w:rPr>
          <w:b/>
        </w:rPr>
        <w:t>E. 10.4</w:t>
      </w:r>
    </w:p>
    <w:p>
      <w:r>
        <w:t>Nach Art. 83 Abs. 2 AIG ist der Vollzug auch als möglich zu bezeichnen, weil es den Beschwerdeführern obliegt, sich die für eine Rückkehr notwendigen Reisedokumente bei der zuständigen Vertretung des Heimatstaats zu beschaffen (Art. 8 Abs. 4 AsylG und dazu BVGE 2008/34 E. 12). Der Vollzug der Wegweisung ist möglich.</w:t>
      </w:r>
    </w:p>
    <w:p>
      <w:r>
        <w:rPr>
          <w:b/>
        </w:rPr>
        <w:t>E. 10.5</w:t>
      </w:r>
    </w:p>
    <w:p>
      <w:r>
        <w:t>Zusammenfassend hat die Vorinstanz den Wegweisungsvollzug zu Recht als zulässig, zumutbar und möglich bezeichnet. Eine Anordnung der vorläufigen Aufnahme fällt somit ausser Betracht (Art. 83 Abs. 1-4 AIG). Der Subeventualantrag ist abzuweisen.</w:t>
      </w:r>
    </w:p>
    <w:p>
      <w:r>
        <w:rPr>
          <w:b/>
        </w:rPr>
        <w:t>E. 11</w:t>
      </w:r>
    </w:p>
    <w:p>
      <w:r>
        <w:t>Aus diesen Erwägungen ergibt sich, dass die angefochtene Verfügung Bundesrecht nicht verletzt und auch sonst nicht zu beanstanden ist (Art. 106 AsylG). Die Beschwerde ist abzuweisen. Nach dem Gesagten besteht auch kein Anlass zur Rückweisung der Sache an die Vorinstanz, der Eventualantrag ist ebenfalls abzuweisen.</w:t>
      </w:r>
    </w:p>
    <w:p>
      <w:r>
        <w:rPr>
          <w:b/>
        </w:rPr>
        <w:t>E. 12.1</w:t>
      </w:r>
    </w:p>
    <w:p>
      <w:r>
        <w:t>Die Beschwerdeführer beantragen die Gewährung der unentgeltlichen Rechtspflege gemäss Art. 65 Abs. 1 VwVG. Aufgrund der vorstehenden Erwägungen ergibt sich indessen, dass ihre Begehren als aussichtslos zu gelten haben. Damit ist eine der kumulativ zu erfüllenden Voraussetzungen nicht gegeben, weshalb dem Gesuch nicht stattzugeben ist. Aus demselben Grund kann auch dem Gesuch um unentgeltliche Rechtsverbeiständung nicht stattgegeben werden (aArt. 110a Abs. 1 AsylG).</w:t>
      </w:r>
    </w:p>
    <w:p>
      <w:r>
        <w:rPr>
          <w:b/>
        </w:rPr>
        <w:t>E. 12.2</w:t>
      </w:r>
    </w:p>
    <w:p>
      <w:r>
        <w:t>Bei diesem Ausgang des Verfahrens sind die Kosten von Fr. 750.- (Art. 1-3 des Reglements vom 21. Februar 2008 über die Kosten und Entschädigungen vor dem Bundesverwaltungsgericht [VGKE], SR 173.320.2) den Beschwerdeführern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