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E-2528/2014 vom 6. Januar 2015</w:t>
      </w:r>
    </w:p>
    <w:p>
      <w:r>
        <w:t>Bundesverwaltungsgericht, 2015-01-06, DE</w:t>
      </w:r>
    </w:p>
    <w:p>
      <w:r>
        <w:rPr>
          <w:b/>
        </w:rPr>
        <w:t xml:space="preserve">Quelle: </w:t>
      </w:r>
      <w:r>
        <w:t>https://mcp.opencaselaw.ch/entscheid/bvger_E-2528_2014</w:t>
      </w:r>
    </w:p>
    <w:p>
      <w:r>
        <w:t>FR: TAF E-2528/2014 du 6 janvier 2015</w:t>
      </w:r>
    </w:p>
    <w:p>
      <w:r>
        <w:t>IT: TAF E-2528/2014 del 6 gennaio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1.6</w:t>
      </w:r>
    </w:p>
    <w:p>
      <w:r>
        <w:t>Die Kognition des Bundesverwaltungsgerichts und die zulässigen Rügen richten sich im Asylbereich nach Art. 106 Abs. 1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w:t>
      </w:r>
    </w:p>
    <w:p>
      <w:r>
        <w:t>Wird ein Asylgesuch im Ausland bei einer Schweizerischen Vertretung gestellt, so führt diese mit der asylsuchenden Person in der Regel eine Befragung durch und überweist das Gesuch anschliessend an das BFM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eine Anhörung des Beschwerdeführers zu den Asylgesuchsgründen durchgeführt.</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4.3</w:t>
      </w:r>
    </w:p>
    <w:p>
      <w:r>
        <w:t>Im angefochtenen Entscheid gelangt das BFM zum Schluss, aufgrund der Aktenlage sei nicht davon auszugehen, dass der Beschwerdeführer in seinem Heimatland konkret gefährdet sei. Die von ihm vorgetragenen Hausbesuche und -durchsuchungen und die damit verbundenen Beeinträchtigungen stellten keine ernsthaften Nachteile im Sinne des Asylgesetzes dar. Den lokal beschränkten Verfolgungsmassnahmen könne er sich durch einen Wegzug in einen anderen Teil seines Heimatlandes entziehen. Den Akten sei nicht zu entnehmen, dass es in den letzten Jahren zu einreiserelevanten Übergriffen gekommen sei oder ihm konkret solche drohen würden. Der Beschwerdeführer macht demgegenüber in seiner Rechtsmitteleingabe geltend, es drohten jederzeit Übergriffe seitens ihm unbekannter Personen.</w:t>
      </w:r>
    </w:p>
    <w:p>
      <w:r>
        <w:rPr>
          <w:b/>
        </w:rPr>
        <w:t>E. 5.1</w:t>
      </w:r>
    </w:p>
    <w:p>
      <w:r>
        <w:t>Aufgrund der Aktenlage muss davon ausgegangen werden, dass der Beschwerdeführer und seine Familie in der Vergangenheit von den Auswirkungen des sri-lankischen Bürgerkrieges durch den Verlust seiner drei Brüder in den Jahren 1991, 1993 und 2006 schwer getroffen wurden. Die vom Beschwerdeführer vorgetragenen Ereignisse liegen jedoch mittlerweile mindestens acht Jahre zurück. In dieser Hinsicht ist mit dem BFM darin einig zu gehen, dass die Bewilligung der Einreise in die Schweiz nicht dem Ausgleich vergangenen Unrechts dienen kann, sondern die Einreise demjenigen zu gewähren ist, der aktuell des Schutzes bedarf. Die diesbezüglichen Vorbringen des Beschwerdeführers müssen daher als nicht einreiserelevant gewürdigt werden.</w:t>
      </w:r>
    </w:p>
    <w:p>
      <w:r>
        <w:rPr>
          <w:b/>
        </w:rPr>
        <w:t>E. 5.2</w:t>
      </w:r>
    </w:p>
    <w:p>
      <w:r>
        <w:t>Der Beschwerdeführer machte im Rahmen des erstinstanzlichen Verfahrens weiter geltend, es sei in den Jahren 2006, 2007, 2008 2009 und 2011 zu weiteren Behelligungen gekommen, indem unbekannte Personen an seinem Wohnort vorgesprochen und sich nach seinem Verbleib erkundigt hätten. Abgesehen davon, dass auch diese Ereignisse mittlerweile mehrere Jahre zurückliegen, sind diese Vorfälle zu vage geschildert worden, um als einreiserelevant betrachtet zu werden. Der Beschwerdeführer vermochte die näheren Umstände dieser Behelligungen nicht zu schildern und insbesondere nicht anzugeben, von wem konkret diese Behelligungen ausgegangen sind. Diese Vorfälle können aufgrund ihrer Art und Intensität nicht als hinreichende Anhaltspunkte für eine flüchtlingsrelevante Verfolgungssituation gewürdigt werden, zumal sie den Beschwerdeführer bei objektiver Betrachtungsweise nicht in die vom Asylgesetz geforderte Zwangslage versetzt haben dürften, welche ihm ein menschenwürdiges Leben in Sri Lanka verunmöglicht oder in unzumutbarem Ausmass erschwert hätte.</w:t>
      </w:r>
    </w:p>
    <w:p>
      <w:r>
        <w:rPr>
          <w:b/>
        </w:rPr>
        <w:t>E. 5.3</w:t>
      </w:r>
    </w:p>
    <w:p>
      <w:r>
        <w:t>In seiner Rechtsmitteleingabe führt der Beschwerdeführer schliesslich aus, er müsse jederzeit mit Übergriffen seitens unbekannter Bewaffneter rechnen. Im Februar 2014 hätten Unbekannte zudem seine Eltern aufgesucht und sich nach seinem Verbleib erkundigt. Hierzu ist festzuhalten, dass auch diese Vorbringen nur in sehr vager Weise vorgetragen wurden. Zudem hat der Beschwerdeführer im Rahmen einer Anhörung vom 21. Februar 2014 angegeben, er habe innerhalb seines Dorfes D._______ in Batticaloa mehrmals umziehen müssen, wobei seine Kinder zur Schule gingen (vgl. Akte A10, S. 4 und 5). Nachdem es dem Beschwerdeführer offenbar gelungen ist, sich durch den mehrfachen Umzug innerhalb des gleichen Dorfes den von ihm befürchteten Nachstellungen zu entziehen, ist davon auszugehen, dass eine Verlegung des Wohnsitzes an einen anderen Ort innerhalb Sri Lankas diesen Behelligungen in nachhaltiger Weise ein Ende setzen würde. Die entsprechenden Vorbringen müssen daher ebenfalls als nicht einreiserelevant gewürdigt werden.</w:t>
      </w:r>
    </w:p>
    <w:p>
      <w:r>
        <w:rPr>
          <w:b/>
        </w:rPr>
        <w:t>E. 5.4</w:t>
      </w:r>
    </w:p>
    <w:p>
      <w:r>
        <w:t>Zusammenfassend ist festzustellen, dass der Beschwerdeführer kein Risikoprofil aufweist, welches eine erhöhte Verfolgungsgefahr indizieren würde. Er ist gemäss seinen eigenen Angaben nie Mitglied der LTTE gewesen, hat sich nie politisch betätigt und hat nie Aktivitäten entwickelt, die ihn aus der Sicht der sri-lankischen Sicherheitskräfte als oppositionelle, das heisst politisch missliebige Person erscheinen lassen würden. Alleine die allgemein gehaltenen Ausführungen des Beschwerdeführers über die in seinem Heimatland herrschenden, unbestritten schwierigen Verhältnisse sprechen ebenfalls nicht für ein individuelles Gefährdungspotential. Unter diesen Umständen hat das Bundesamt zu Recht die Erteilung der Einreisebewilligung verweigert und das Asylgesuch abgelehnt.</w:t>
      </w:r>
    </w:p>
    <w:p>
      <w:r>
        <w:rPr>
          <w:b/>
        </w:rPr>
        <w:t>E. 6</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