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E-2524/2013 vom 22. Mai 2013</w:t>
      </w:r>
    </w:p>
    <w:p>
      <w:r>
        <w:t>Bundesverwaltungsgericht, 2013-05-22, FR</w:t>
      </w:r>
    </w:p>
    <w:p>
      <w:r>
        <w:rPr>
          <w:b/>
        </w:rPr>
        <w:t xml:space="preserve">Quelle: </w:t>
      </w:r>
      <w:r>
        <w:t>https://mcp.opencaselaw.ch/entscheid/bvger_E-2524_2013</w:t>
      </w:r>
    </w:p>
    <w:p>
      <w:r>
        <w:t>FR: TAF E-2524/2013 du 22 mai 2013</w:t>
      </w:r>
    </w:p>
    <w:p>
      <w:r>
        <w:t>IT: TAF E-2524/2013 del 22 maggio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PA). Sur ce point, le Tribunal constate en particulier qu'en ce qui concerne la procédure de recours, la minorité de l'intéressé n'est plus d'actualité, étant donné que le recourant est, selon la date de naissance qu'il a lui-même donnée, devenu majeur, le 22 février 2013.</w:t>
      </w:r>
    </w:p>
    <w:p>
      <w:r>
        <w:rPr>
          <w:b/>
        </w:rPr>
        <w:t>E. 1.3</w:t>
      </w:r>
    </w:p>
    <w:p>
      <w:r>
        <w:t>Présenté dans la forme et dans les délais prescrits par la loi, son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préalable, il convient d'examiner le grief de l'intéressé relatif à la prétendue violation de son droit de consulter le dossier.</w:t>
      </w:r>
    </w:p>
    <w:p>
      <w:r>
        <w:rPr>
          <w:b/>
        </w:rPr>
        <w:t>E. 3.2</w:t>
      </w:r>
    </w:p>
    <w:p>
      <w:r>
        <w:t>L'accès au dossier, prévu aux art. 26 à 28 PA, découle du droit d'être entendu, garanti par l'art. 29 al. 2 de la Constitution fédérale de la Confédération suisse du 18 avril 1999 (Cst., RS 101).</w:t>
      </w:r>
    </w:p>
    <w:p>
      <w:r>
        <w:rPr>
          <w:b/>
        </w:rPr>
        <w:t>E. 3.3</w:t>
      </w:r>
    </w:p>
    <w:p>
      <w:r>
        <w:t>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s.,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La garantie constitutionnelle de l'accès au dossier ne comprend, en règle générale, que le droit de consulter les pièces au siège de l'autorité, de prendre des notes et, pour autant que cela n'entraîne aucun inconvénient excessif pour l'administration, de faire des photocopies (cf. ATF 131 V 35 consid. 4.2 p. 41, ATF 122 I 109 consid. 2b p. 112 et juris. cit. ; voir également art. 26 al. 1 PA). En revanche, elle ne confère pas le droit de se voir adresser les pièces du dossier ou une copie de celles-ci. Un tel droit peut en revanche découler du droit de procédure applicable et/ou du principe de l'égalité de traitement (cf. Waldmann, op. cit., p. 77 ; arrêt du Tribunal fédéral 1C_268/2011 du 16 décembre 2011 consid. 3.2 ; ATF 127 V 219 consid. 1b p. 223 ss, ATF 123 II 534 consid. 3d p. 541, ATF 122 I 109 consid. 2b p. 112, ATF 108 Ia 5 consid. 2b p. 7 s.). L'art. 26 al. 1 PA prévoit la consultation des pièces du dossier au siège de l'autorité ; dans le cadre de la procédure d'asile, l'ODM a néanmoins instauré une pratique consistant à assurer la consultation du dossier par l'envoi de photocopies. Le droit de consulter le dossier n'est pas absolu et peut être limité pour la sauvegarde d'un intérêt public ou privé important au maintien du secret (cf. art. 27 al. 1 et al. 2 PA ; voir également ATF 122 I 153 consid. 6a p. 161 et juris. cit.). En outre, la consultation de certaines pièces du dossier peut être refusée s'il s'agit des pièces internes, sans incidence sur la procédure en cours (cf. ATF 115 V 303).</w:t>
      </w:r>
    </w:p>
    <w:p>
      <w:r>
        <w:rPr>
          <w:b/>
        </w:rPr>
        <w:t>E. 3.4</w:t>
      </w:r>
    </w:p>
    <w:p>
      <w:r>
        <w:t>S'agissant du cas d'espèce, l'examen du dossier permet de constater que toutes les garanties précitées ont été respectées. Certes, le recourant n'a pas pu prendre connaissance de toutes les pièces, toutefois la restriction voulue par l'ODM entre dans le cadre des limitations admissibles au droit de consulter le dossier, ainsi que mentionné ci-dessus (cf. 3.3 in fine).</w:t>
      </w:r>
    </w:p>
    <w:p>
      <w:r>
        <w:rPr>
          <w:b/>
        </w:rPr>
        <w:t>E. 3.4.1</w:t>
      </w:r>
    </w:p>
    <w:p>
      <w:r>
        <w:t>En effet, comme l'ODM l'a d'ailleurs précisé dans sa décision incidente du 1er mai 2013, les pièces à usage interne ont été soustraites à la consultation. En outre, l'office a renoncé à envoyer la copie de la pièce connue de l'intéressé, émanant de l'autorité cantonale. Sur ce dernier point, l'ODM a toutefois dûment informé le recourant qu'il pouvait demander, à cette dernière autorité, l'autorisation de consulter la pièce en question, à savoir un rapport de police qu'il avait d'ailleurs contresigné.</w:t>
      </w:r>
    </w:p>
    <w:p>
      <w:r>
        <w:rPr>
          <w:b/>
        </w:rPr>
        <w:t>E. 3.4.2</w:t>
      </w:r>
    </w:p>
    <w:p>
      <w:r>
        <w:t>S'agissant plus précisément du type de pièces dont l'intéressé n'a pas eu connaissance, elles ont été énumérées par l'ODM dans sa décision incidente précitée. Il s'agit en tout et pour tout de sept documents, dont six sont expressément qualifiés de "pièces à usage interne" (A5, A6, A7, A8, A10 et A21) et un (A18) de "pièce émanant d'une autre autorité", à savoir, de rapport de police précité, dont l'intéressé avait déjà connaissance. Ainsi, compte tenu de la nature de ces documents, force est de constater qu'en renonçant à les communiquer à l'intéressé, l'ODM n'a pas porté atteinte au droit de consulter le dossier. Comme déjà ci-dessus précisé, de telles restrictions entrent dans le cadre des imitations autorisées du droit d'accès au dossier.</w:t>
      </w:r>
    </w:p>
    <w:p>
      <w:r>
        <w:rPr>
          <w:b/>
        </w:rPr>
        <w:t>E. 4.1</w:t>
      </w:r>
    </w:p>
    <w:p>
      <w:r>
        <w:t>Sur le fond, le recourant fait valoir, comme motif de sa demande d'asile, la crainte d'être poursuivi et tué par les villageois pour avoir incendié leurs champs. Sur ce point, l'ODM estime que les propos de l'intéressé ne sont pas vraisemblables. Le Tribunal adhère pleinement à cette constatation. En effet, le récit de l'intéressé, général et sommaire, dépourvu de détails significatifs d'une expérience réellement vécue, frappe par son manque de substance. Sur ce point il suffit d'observer que le recourant ne parvient pas à décrire avec précision les circonstances de l'incendie prétendument provoqué ni n'est pas à même d'indiquer sa date exacte, alors qu'il s'agit d'un élément clé de sa demande d'asile. Indépendamment toutefois de la question touchant à la vraisemblance de ses propos, force est de constater que le recourant ne fait valoir aucun motif pertinent en matière d'asile ; en d'autres termes, il n'allègue aucun risque de persécution en Gambie, pour l'un de motifs exhaustivement énumérés par l'art. 3 al. 1 LAsi. En l'espèce, l'intéressé se plaint uniquement d'un différend entre lui et les propriétaires des champs incendiés. Or, il s'agit d'un conflit entre des tiers, en l'occurrence sans portée pour l'octroi d'une protection en matière d'asile. Au demeurant, le Tribunal observe que si l'intéressé se sentait effectivement menacé dans son village, il pouvait faire appel aux forces locales de police. Aucun élément du dossier ne permet en effet de retenir que celles-ci n'auraient pas réagi pour lui accorder la protection nécessaire.</w:t>
      </w:r>
    </w:p>
    <w:p>
      <w:r>
        <w:rPr>
          <w:b/>
        </w:rPr>
        <w:t>E. 4.2</w:t>
      </w:r>
    </w:p>
    <w:p>
      <w:r>
        <w:t>Il s'ensuit que le recours, en tant qu'il conteste le refus d'asile, doit être rejeté.</w:t>
      </w:r>
    </w:p>
    <w:p>
      <w:r>
        <w:rPr>
          <w:b/>
        </w:rPr>
        <w:t>E. 4.3</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4.4</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8.1</w:t>
      </w:r>
    </w:p>
    <w:p>
      <w:r>
        <w:t>En l'espèce, le recourant invoque de mauvaises conditions de vie régnant dans son pays d'origine. Il convient de constater que cette situation, bien que déplorable, constitue le lot habituel de la population locale et ne saurait suffire à s'opposer à l'exécution du renvoi de l'intéressé en Gambie. Il ne s'agit en effet pas d'un motif suffisant à réaliser une mise en danger concrète au sens de l'art. 83 al. 4 LEtr.</w:t>
      </w:r>
    </w:p>
    <w:p>
      <w:r>
        <w:rPr>
          <w:b/>
        </w:rPr>
        <w:t>E. 8.2</w:t>
      </w:r>
    </w:p>
    <w:p>
      <w:r>
        <w:t>Partant, un retour en Gambie, Etat où le recourant a passé l'essentiel de son existence, ne devrait pas l'exposer à des difficultés de réadaptation insurmontables. Il pourra y retrouver le réseau social dans lequel il a grandi et où il a vécu avant d'arriver en Suisse. Enfin, la jurisprudence exigeant une prise en compte de l'intérêt supérieur de l'enfant (cf. art. 3 de la Convention relative aux droits de l'enfant du 20 novembre 1989 [RS 0.107]) n'est plus applicable à l'intéressé qui est maintenant majeur, les conditions d'exécution du renvoi devant en effet s'apprécier au moment du prononcé de l'arrêt au fond.</w:t>
      </w:r>
    </w:p>
    <w:p>
      <w:r>
        <w:rPr>
          <w:b/>
        </w:rPr>
        <w:t>E. 8.3</w:t>
      </w:r>
    </w:p>
    <w:p>
      <w:r>
        <w:t>Pour ces motifs, l'exécution du renvoi doit être considérée comme raisonnablement exigible.</w:t>
      </w:r>
    </w:p>
    <w:p>
      <w:r>
        <w:rPr>
          <w:b/>
        </w:rPr>
        <w:t>E. 9</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Dans la mesure où les conclusions du recours étaient d'emblée vouées à l'échec, la requête d'assistance judiciaire partielle est rejetée (art. 65 al. 1 PA).</w:t>
      </w:r>
    </w:p>
    <w:p>
      <w:r>
        <w:rPr>
          <w:b/>
        </w:rPr>
        <w:t>E. 13</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