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E-2520/2024 vom 8. September 2025</w:t>
      </w:r>
    </w:p>
    <w:p>
      <w:r>
        <w:t>Bundesverwaltungsgericht, 2025-09-08, DE</w:t>
      </w:r>
    </w:p>
    <w:p>
      <w:r>
        <w:rPr>
          <w:b/>
        </w:rPr>
        <w:t xml:space="preserve">Quelle: </w:t>
      </w:r>
      <w:r>
        <w:t>https://mcp.opencaselaw.ch/entscheid/bvger_E-2520_2024</w:t>
      </w:r>
    </w:p>
    <w:p>
      <w:r>
        <w:t>FR: TAF E-2520/2024 du 8 septembre 2025</w:t>
      </w:r>
    </w:p>
    <w:p>
      <w:r>
        <w:t>IT: TAF E-2520/2024 del 8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E-2520/2024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E-2520/2024 Seite 6 Tatsachen nicht entsprechen oder massgeblich auf gefälschte oder ver- fälschte Beweismittel abgestützt werden (Art. 7 AsylG).</w:t>
      </w:r>
    </w:p>
    <w:p>
      <w:r>
        <w:rPr>
          <w:b/>
        </w:rPr>
        <w:t>E. 5.1</w:t>
      </w:r>
    </w:p>
    <w:p>
      <w:r>
        <w:t>Die Vorinstanz gelangte in der angefochtenen Verfügung zum Schluss, insgesamt hielten die Vorbringen der Beschwerdeführerin den Anforderun- gen an die Flüchtlingseigenschaft gemäss Art. 3 AsylG nicht stand. Es sei durchaus denkbar, dass die türkischen Behörden mit verschiedenen Mitteln versuchten, Informationen über kurdische Organisationen zu sam- meln, und dafür auch sogenannte «Spitzel» rekrutierten. Auch wenn die Beschwerdeführerin dies tatsächlich erlebt und eine solche Zusammenar- beit abgelehnt haben sollte, müsse ihre Reaktion nicht zwingend Nachteile zur Folge haben, zumal sie in diesem Zusammenhang auch keine konkre- ten Vorkommnisse geltend mache. Es seien keine objektiven Hinweise ak- tenkundig, wonach ihre subjektive Befürchtung, künftig ernsthafte Nach- teile im Sinne von Art. 3 AsylG zu erfahren, auch begründet wären. Im Zusammenhang mit ihrem früheren Strafverfahren betreffend den Vor- wurf der Mitgliedschaft in einer Terrororganisation bestehe kein Grund zur Annahme, dass sie mit beachtlicher Wahrscheinlichkeit und in absehbarer Zukunft von flüchtlingsrechtlich relevanter Verfolgung betroffen sei. Es sei darauf hinzuweisen, dass eine Person in der Türkei nur einmal für eine Straftat verurteilt und deswegen dafür grundsätzlich nicht mehr belangt werden könne, sobald sie diese verbüsst habe. In Ausnahmefällen könne es vorkommen, dass ehemalige Strafgefangene oder Personen mit einem Datenblatt ernsthaften Nachteilen im Sinne von Art. 3 AsylG ausgesetzt seien. Das Ausmass von allenfalls zu befürchtenden behördlichen Mass- nahmen sei abhängig von verschiedenen Faktoren. Eine wesentliche Rolle spiele dabei namentlich der Grund sowie der Zeitpunkt eines früheren Strafverfahrens, die behördliche Einschätzung über ein aktuelles politi- sches Engagement der verdächtigen Person und das familiäre Umfeld. Die von der Beschwerdeführerin seit der Haftentlassung im Jahr 2019 erlitte- nen Schikanen liessen keine Intensität erkennen, die eine flüchtlingsrecht- liche Relevanz zu entfalten vermöge. Zudem lägen keine besonderen Um- stände vor, die ihre Flucht vor flüchtlingsrechtlich relevanter Verfolgung als begründet erscheinen lasse. Zwar sei ihre Familie politisch aktiv, sie selbst aber – seit ihrer Rückkehr aus den Bergen – nicht mehr. Auch bestehe kein Kontakt mehr mit der PKK (Partiya Karkerên Kurdistanê). Zum Zeitpunkt ihrer Ausreise sei sie weder behördlich gesucht noch sei ein Strafverfahren hängig gewesen. Es gebe keine Hinweise, dass sie in derselben</w:t>
      </w:r>
    </w:p>
    <w:p>
      <w:r>
        <w:t>E-2520/2024 Seite 7 Strafsache erneut verurteilt werden könnte. Sie sei über Jahre hinweg in ihrer Heimat geblieben. Die türkischen Behörden hätten ohne Weiteres ein erneutes Verfahren gegen sie eröffnen können, was jedoch nicht der Fall sei (auch nicht nach der letzten geltend gemachten Hausdurchsuchung im September 20[…]). Ausserdem habe sie die Türkei auf legalem Weg mit ihrem Reisepass über den Flughafen G._______ verlassen, was ebenfalls zeige, dass strafrechtlich nichts gegen sie vorliege. Darüber hinaus wäre denkbar, dass die geltend gemachten Hausdurchsuchungen und Telefon- überwachungen auf die politischen Tätigkeiten ihres Vaters zurückzuführen seien. Die geltend gemachten Elemente wie Hausdurchsuchungen sowie die all- gemeine Gewaltsituation im Jahr 2016 gingen ferner in ihrer Intensität nicht über die Nachteile hinaus, welche weite Teile der kurdischen Bevölkerung in der Türkei in ähnlicher Weise treffen könnten. Schliesslich habe sie keine direkten Schikanen bezüglich ihrer Aufenthalte in F._______ zu Protokoll gegeben. Bezüglich der Arreste und Hausdurch- suchungen in B._______ habe es sich vor allem um Probleme mit den lo- kalen Polizeibehörden gehandelt. Somit könne sie sich mit einem Umzug in einen anderen Landesteil den Schwierigkeiten entziehen, zumal landes- weit nichts gegen sie vorliege und es sich beim Vorbringen, ihr sei in F._______ aufgrund der Probleme in B._______ gekündigt worden, ledig- lich um eine Vermutung ihrerseits handle. Somit sei sie nicht auf den Schutz der Schweiz angewiesen. Aufgrund der fehlenden flüchtlingsrechtlichen Relevanz erübrige es sich, auf die eingereichten Beweismittel und auf Unglaubhaftigkeitselemente in den Vorbringen einzugehen. Dennoch habe sich die Beschwerdeführerin in Bezug auf ihren Aufenthaltszeitraum in den Bergen, in D._______ und im E._______ mehrfach widersprüchlich geäussert. Beispielsweise habe sie zu Protokoll gegeben, im November 20(…) von den Bergen zurückge- kehrt zu sein und sich freiwillig gestellt zu haben. Die eingereichten Be- weismittel bezeugten jedoch, dass ihr Verfahren bereits im Oktober 20(…) eröffnet worden sei.</w:t>
      </w:r>
    </w:p>
    <w:p>
      <w:r>
        <w:rPr>
          <w:b/>
        </w:rPr>
        <w:t>E. 5.2</w:t>
      </w:r>
    </w:p>
    <w:p>
      <w:r>
        <w:t>Nebst der Wiederholung der vorinstanzlichen Vorbringen, der Beteue- rung von deren flüchtlingsrechtlicher Relevanz und allgemeinen Ausfüh- rungen zur politischen Situation in der Türkei (unter Verweis auf das Urteil des BVGer E-5347/2014 vom 16. November 2016 E. 5.6.2 sowie diverse [Zeitungs-]Berichte aus den Jahren 2017–2019) macht die</w:t>
      </w:r>
    </w:p>
    <w:p>
      <w:r>
        <w:t>E-2520/2024 Seite 8 Beschwerdeführerin in der Beschwerde im Wesentlichen geltend, die Vo- rinstanz habe ihr politisches Profil völlig falsch eingeschätzt. Sie weise – gestützt auf den Bericht der Schweizerischen Flüchtlingshilfe (SFH) «Tür- kei: Gefährdungsprofile» vom 9. Mai 2017 – ein klares Gefährdungsprofil auf. Die Argumentation respektive das Vorgehen der Vorinstanz erweise sich als willkürlich, und haltlos. Sie habe im Rahmen des Asylverfahrens klare, detaillierte, schlüssige, lebensnahe, persönlich gefärbte, wider- spruchsfreie und glaubhafte Aussagen zu Protokoll gegeben. Aus ihren Aussagen ergebe sich die geltend gemachte Verfolgung zweifelsfrei. Im Übrigen habe die Vorinstanz die «Glaubwürdigkeit» ihrer Aussage, wonach die türkischen Behörden verdeckt Druck auf sie ausgeübt hätten, um sie zu einer Zusammenarbeit zu zwingen, nicht bezweifelt. Sie sei von Polizei- mitarbeitern, die mutmasslich für den türkischen Geheimdienst tätig seien, mit dem Tod und weiteren schrecklichen Nachteilen bedroht worden und habe davon ausgehen müssen, dass die Verfolger ihre Drohungen auf die eine oder andere Weise wahrmachen würden. Sie habe tatsächlich ernst- hafte Nachteile zu befürchten und ausser Landes fliehen müssen, wofür ihre hohe Glaubwürdigkeit als Person, die Glaubhaftigkeit ihrer Angaben, ihr politisches Profil und die Menschenrechtssituation im Herkunftsland sprächen. Im Übrigen werde die Vorinstanz der Komplexität politischer Verfolgung von Personen mit kurdischer Abstammung, die der Staat aufgrund der PKK-Nähe als «terroristisch» diffamiere und unterdrücke nicht annähernd gerecht, wenn sie annehme, der türkische Staat kenne nur die Verfolgung per Strafbefehl. Schliesslich erscheine eine polizeiliche Registrierung aufgrund der mehr- maligen Festnahmen als plausibel.</w:t>
      </w:r>
    </w:p>
    <w:p>
      <w:r>
        <w:rPr>
          <w:b/>
        </w:rPr>
        <w:t>E. 6.1</w:t>
      </w:r>
    </w:p>
    <w:p>
      <w:r>
        <w:t>Zum Beschwerdevorbringen, das Vorgehen respektive die Argumenta- tion der Vorinstanz sei willkürlich, ist festzuhalten, dass Willkür nur dann vorliegt, wenn ein Entscheid offensichtlich unhaltbar ist, mit der tatsächli- chen Situation in klarem Widerspruch steht, eine Norm oder einen unum- strittenen Rechtsgrundsatz klar verletzt oder in stossender Weise dem Ge- rechtigkeitsgedanken zuwiderläuft (BGE 133 I 149 E. 1 m.w.H.; vgl. MÜL- LER/SCHEFER, Grundrechte in der Schweiz, 4. Aufl. 2008, S. 11). Die Will- kürrüge erweist sich vorliegend als unbegründet. Den Akten lassen sich weder Hinweise auf ein willkürliches Vorgehen noch eine willkürliche Wür- digung der Vorbringen entnehmen; die Vorinstanz hat sich hinreichend</w:t>
      </w:r>
    </w:p>
    <w:p>
      <w:r>
        <w:t>E-2520/2024 Seite 9 differenziert mit den zentralen Vorbringen der Beschwerdeführerin ausei- nandergesetzt und den Sachverhalt korrekt sowie vollständig festgestellt. Ein Anlass zur Rückweisung der Sache an die Vorinstanz besteht somit nicht.</w:t>
      </w:r>
    </w:p>
    <w:p>
      <w:r>
        <w:rPr>
          <w:b/>
        </w:rPr>
        <w:t>E. 6.2</w:t>
      </w:r>
    </w:p>
    <w:p>
      <w:r>
        <w:t>Das Bundesverwaltungsgericht schliesst sich sodann den zutreffenden Erwägungen der Vorinstanz an und verweist auf diese (vgl. SEM-Akte […]- 40/11 S. 4 ff.). Die Vorbringen der Beschwerdeführerin wurden zu Recht als flüchtlingsrechtlich nicht relevant qualifiziert. Die Ausführungen in der Beschwerde vermögen den Erwägungen der Vorinstanz letztlich nichts Stichhaltiges entgegenzusetzen, zumal die Beteuerung der Glaubhaftigkeit der Vorbringen und die zitierten Berichte (alle aus den Jahren 2017–2019) weder geeignet sind, eine individuelle asylrelevante Vorverfolgung noch eine objektiv begründete Furcht vor zukünftiger Verfolgung der Beschwer- deführerin darzutun. Darüber hinaus ergeben sich weder aus den Akten noch aus den Beschwerdevorbringen Hinweise auf eine begründete Furcht vor einer (zukünftigen) asylrelevanten Reflexverfolgung aufgrund der poli- tischen Aktivitäten ihrer Familienmitglieder. Schliesslich ist hervorzuheben, dass es der Beschwerdeführerin nach ihrer Haftentlassung im Jahr 2019 möglich war, sich zunächst durchgehend in B._______ aufzuhalten und später nach ihren Aufenthalten in F._______ (wo sie im Übrigen unbehelligt arbeiten konnte) wieder nach B._______ zurückzukehren (vgl. SEM-Akte […]-15/17 F12–F16, F27–F30). Die Vo- rinstanz hat demnach zu Recht die für eine Asylrelevanz nötige Intensität der erlittenen Schikanen (Hausdurchsuchungen, Abhören der Telefonate, mehrmaliges Verbringen in Arrestzelle) verneint. Ferner konnte die Be- schwerdeführerin problemlos legal mit dem Flugzeug über G._______ aus- reisen (vgl. SEM-Akte […]-15/17 F49 f.). Im Übrigen ist festzuhalten, dass die Beschwerdeführerin auch auf Be- schwerdeebene die von der Vorinstanz anlässlich der Anhörung eingefor- derten Dokumente nicht einreichte (vgl. SEM-Akte […]-15/17 F111–F117).</w:t>
      </w:r>
    </w:p>
    <w:p>
      <w:r>
        <w:rPr>
          <w:b/>
        </w:rPr>
        <w:t>E. 6.3</w:t>
      </w:r>
    </w:p>
    <w:p>
      <w:r>
        <w:t>Zusammenfassend ist festzustellen, dass die Vorinstanz die Flücht- lingseigenschaft der Beschwerdeführerin zu Recht verneint und ihr Asylge- such abgelehnt hat.</w:t>
      </w:r>
    </w:p>
    <w:p>
      <w:r>
        <w:rPr>
          <w:b/>
        </w:rPr>
        <w:t>E. 7.1</w:t>
      </w:r>
    </w:p>
    <w:p>
      <w:r>
        <w:t>Lehnt das SEM das Asylgesuch ab oder tritt es darauf nicht ein, so verfügt es in der Regel die Wegweisung aus der Schweiz und ordnet den</w:t>
      </w:r>
    </w:p>
    <w:p>
      <w:r>
        <w:t>E-2520/2024 Seite 10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Der Vollzug der Wegweisung der Beschwerdeführerin ist in Beachtung die- ser massgeblichen völker- und landesrechtlichen Bestimmungen zulässig, da es ihr nicht gelungen ist, eine asylrechtlich erhebliche Gefährdung nach- zuweisen oder glaubhaft zu machen, womit das in Art. 5 AsylG verankerte Prinzip des flüchtlingsrechtlichen Non-Refoulement im vorliegenden Ver- fahren keine Anwendung findet. Sodann sind keine Anhaltspunkte für eine im Heimat- oder Herkunftsstaat drohende menschenrechtswidrige Behandlung im Sinne von Art. 25 Abs. 3 BV, von Art. 3 des Übereinkommens vom 10. Dezember 1984 gegen Folter</w:t>
      </w:r>
    </w:p>
    <w:p>
      <w:r>
        <w:t>E-2520/2024 Seite 11 und andere grausame, unmenschliche oder erniedrigende Behandlung oder Strafe (FoK, SR 0.105) und der Praxis zu Art. 3 EMRK ersichtlich.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der Entwicklungen nach dem versuchten Mi- litärputsch im Juli 2016 ist gemäss konstanter Praxis des Bundesverwal- tungsgerichts nicht von einer Situation allgemeiner Gewalt oder von bür- gerkriegsähnlichen Verhältnissen in der Türkei – auch nicht für Angehörige der kurdischen Ethnie – auszugehen. Im Übrigen ist aktuell auch bei einem Vollzug der Wegweisung in die Provinzen Hakkari und Sirnak nicht mehr von einer generellen Unzumutbarkeit auszugehen (vgl. Referenzurteil E-4103/2024 vom 8. November 2024 E. 13.2 und 13.4 m.w.H.). Der Vollzug der Beschwerdeführerin erweist sich auch in individueller Hin- sicht als zumutbar. Wie die Vorinstanz in der Verfügung (vgl. SEM-Akte […]-40/11 S. 7 f.) zutreffend festgehalten hat, verfügt die junge Beschwer- deführerin über Berufserfahrung in verschiedenen Bereichen ([…], […] [als {…}] und […]; vgl. SEM-Akte […]-15/17 F22 ff.) und über ein grosses fami- liäres Beziehungsnetz in der Türkei (z.T. auch ausserhalb der Provinz B._______; vgl. SEM-Akte […]-15/17 F33 ff.), welches sie bei der Wieder- eingliederung unterstützen kann. Die pauschal und erst auf Beschwerdeebene in einem undatierten hand- schriftlichen Schreiben vorgebrachten psychischen Probleme der Be- schwerdeführerin (vgl. Bst. J) vermögen sodann an der Zumutbarkeit des Wegweisungsvollzugs nichts zu ändern, zumal allfällige psychische Prob- leme in der Türkei behandelt werden könnten. Der Vollständigkeit halber ist darauf hinzuweisen, dass allfälligen suizidalen Tendenzen bei der Aus- gestaltung der Vollzugsmodalitäten Rechnung getragen werden könnte (vgl. statt vieler Urteil BVGer E-1728/2025 vom 24. April 2025).</w:t>
      </w:r>
    </w:p>
    <w:p>
      <w:r>
        <w:rPr>
          <w:b/>
        </w:rPr>
        <w:t>E. 8.4</w:t>
      </w:r>
    </w:p>
    <w:p>
      <w:r>
        <w:t>Schliesslich obliegt es der Beschwerdeführerin, sich bei der zuständi- gen Vertretung des Heimatstaates die für eine Rückkehr notwendigen</w:t>
      </w:r>
    </w:p>
    <w:p>
      <w:r>
        <w:t>E-2520/2024 Seite 12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Formular «Gesuch um unentgeltliche Rechtspflege nach Art. 111 VRPG» welches nach Begleichen des Kostenvorschusses einging (vgl. Bst. G und H), wird als Gesuch um Gewährung der unentgeltlichen Pro- zessführung und um amtliche Rechtsverbeiständung entgegengenommen. Da die Instruktionsrichterin aber bereits mit Zwischenverfügung vom 30. April 2024 nach einer summarischen Prüfung der Aktenlage die Aus- sichtslosigkeit der Rechtsbegehren feststellte, sind die Gesuche abzuwei- sen, zumal sich diese Einschätzung gemäss den vorstehenden Erwägun- gen als zutreffend erwies, womit es an einer gesetzlichen Voraussetzung zu ihrer Gewährung fehlt.</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einbezahlte Kostenvorschuss ist zur Begleichung der Verfahrenskosten zu verwenden.</w:t>
      </w:r>
    </w:p>
    <w:p>
      <w:r>
        <w:t>(Dispositiv nächste Seite)</w:t>
      </w:r>
    </w:p>
    <w:p>
      <w:r>
        <w:t>E-2520/2024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