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E-251/2013 vom 24. Januar 2013</w:t>
      </w:r>
    </w:p>
    <w:p>
      <w:r>
        <w:t>Bundesverwaltungsgericht, 2013-01-24, DE</w:t>
      </w:r>
    </w:p>
    <w:p>
      <w:r>
        <w:rPr>
          <w:b/>
        </w:rPr>
        <w:t xml:space="preserve">Quelle: </w:t>
      </w:r>
      <w:r>
        <w:t>https://mcp.opencaselaw.ch/entscheid/bvger_E-251_2013</w:t>
      </w:r>
    </w:p>
    <w:p>
      <w:r>
        <w:t>FR: TAF E-251/2013 du 24 janvier 2013</w:t>
      </w:r>
    </w:p>
    <w:p>
      <w:r>
        <w:t>IT: TAF E-251/2013 del 24 gennaio 2013</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Abs.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Bei einem Nichteintreten gestützt auf Art. 32 Abs. 2 Bst. a und Abs. 3 AsylG ist indessen über die Flüchtlingseigenschaft abschliessend materiell zu entscheiden, soweit dies im Rahmen einer summarischen Prüfung möglich ist (vgl. BVGE 2007/8 E. 5.6.5). Die Flüchtlingseigenschaft ist insoweit Prozessgegenstand im Beschwerdeverfahren (vgl. BVGE a.a.O. E. 2.1). Da die Vorinstanz die Frage der Wegweisung und des Vollzugs materiell geprüft hat, kommt dem Bundesverwaltungsgericht diesbezüglich volle Kognition zu.</w:t>
      </w:r>
    </w:p>
    <w:p>
      <w:r>
        <w:rPr>
          <w:b/>
        </w:rPr>
        <w:t>E. 4.1</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4.2</w:t>
      </w:r>
    </w:p>
    <w:p>
      <w:r>
        <w:t>Die vom Beschwerdeführer angeführten Gründe - er verfüge weder über einen Reisepass, weil er nicht habe ausreisen wollen, noch über eine Identitätskarte, weil er sich nicht habe registrieren lassen wollen bzw. die beantragte Karte nicht abgeholt habe, und er verfüge auch nicht über weitere Identitätsdokumente (Schulzeugnis, Führerausweis, etc.), weil ihm keine Adresse oder Faxnummer bekannt sei - sind nicht geeignet, die Papierlosigkeit zu entschuldigen. In Übereinstimmung mit der Vorinstanz ist festzustellen, dass die Angaben nicht glaubhaft sind. In der Beschwerde wird diesbezüglich nichts eingewendet. Die Papierlosigkeit bleibt nach dem Gesagten unentschuldigt. Die Vorinstanz nimmt daher zutreffend an, dass der Beschwerdeführer sich um die Beschaffung seiner Reise- oder Identitätspapiere nicht ernsthaft bemüht hat und deshalb keine entschuldbaren Gründe im Sinn Art. 32 Abs. 3 Bst. a AsylG vorliegen.</w:t>
      </w:r>
    </w:p>
    <w:p>
      <w:r>
        <w:rPr>
          <w:b/>
        </w:rPr>
        <w:t>E. 5.1</w:t>
      </w:r>
    </w:p>
    <w:p>
      <w:r>
        <w:t>Gemäss Art. 32 Abs. 3 Bst. c AsylG ist das Asylgesuch trotz (unentschuldigter) Papierlosigkeit einlässlich zu behandeln, wenn sich erweist, dass zusätzliche Abklärungen zur Feststellung der Flüchtlingseigenschaft oder eines Wegweisungsvollzugshindernisses nötig sind.</w:t>
      </w:r>
    </w:p>
    <w:p>
      <w:r>
        <w:rPr>
          <w:b/>
        </w:rPr>
        <w:t>E. 5.2</w:t>
      </w:r>
    </w:p>
    <w:p>
      <w:r>
        <w:t>Der Beschwerdeführer macht im Wesentlichen geltend, dass er von der zweiten Ehefrau seines Vaters mit einem Orakel-Fluch belegt worden sei, welcher bewirke, dass er gesundheitliche Probleme habe, wenn er sich im Haus der Familie aufhalte. Bei seinen Vorbringen handelt es sich um familiäre Probleme, die keine gezielt gegen ihn gerichtete staatliche Verfolgungsmassnahmen erkennen lassen. In Übereinstimmung mit der Vorinstanz ist festzustellen, dass die vorgebrachten Fluchtgründe nicht asylrelevant sind. Sie ist zu Recht nicht auf das Asylgesuch eingetreten.</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Nigeria noch individuelle Gründe lassen auf eine konkrete Gefährdung im Falle einer Rückkehr des Beschwerdeführers nach Nigeria schliessen. Der Vollzug der Wegweisung ist demnach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7.5</w:t>
      </w:r>
    </w:p>
    <w:p>
      <w:r>
        <w:t>Die Vorinstanz hat den Wegweisungsvollzug zusammenfassend zu Recht als zulässig, zumutbar und möglich erachtet, weshalb die Anordnung der vorläufigen Aufnahme ausser Betracht fällt.</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