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E-2515/2021 vom 24. Juni 2021</w:t>
      </w:r>
    </w:p>
    <w:p>
      <w:r>
        <w:t>Bundesverwaltungsgericht, 2021-06-24, DE</w:t>
      </w:r>
    </w:p>
    <w:p>
      <w:r>
        <w:rPr>
          <w:b/>
        </w:rPr>
        <w:t xml:space="preserve">Quelle: </w:t>
      </w:r>
      <w:r>
        <w:t>https://mcp.opencaselaw.ch/entscheid/bvger_E-2515_2021</w:t>
      </w:r>
    </w:p>
    <w:p>
      <w:r>
        <w:t>FR: TAF E-2515/2021 du 24 juin 2021</w:t>
      </w:r>
    </w:p>
    <w:p>
      <w:r>
        <w:t>IT: TAF E-2515/2021 del 24 giugno 2021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4 des Entscheid-Dispositivs des Urteils des Bundesverwaltungsgerichts in Sachen E-1594/2018 vom 12. Mai 2021 wird berichtigt und durch diesen Text ersetzt: "Das SEM wird angewiesen, dem Beschwerdeführer für das Verfahren vor dem Bundesverwaltungsgericht eine Parteientschädigung von Fr. 2'000.- auszurichten."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Das Honorar der amtlichen Rechtsbeiständin für das Berichtigungsverfahren wird auf Fr. 200.- bestimmt und durch die Gerichtskasse vergütet.</w:t>
      </w:r>
    </w:p>
    <w:p>
      <w:r>
        <w:rPr>
          <w:b/>
        </w:rPr>
        <w:t>E. 4</w:t>
      </w:r>
    </w:p>
    <w:p>
      <w:r>
        <w:t>Dieser Berichtigungsentscheid geht an den Gesuchsteller, das SEM und die zuständige kantonale Behörde. Die vorsitzende Richterin: Die Gerichtsschreiberin: Roswitha Petry Mara Urbani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