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E-2514/2012 vom 21. November 2013</w:t>
      </w:r>
    </w:p>
    <w:p>
      <w:r>
        <w:t>Bundesverwaltungsgericht, 2013-11-21, DE</w:t>
      </w:r>
    </w:p>
    <w:p>
      <w:r>
        <w:rPr>
          <w:b/>
        </w:rPr>
        <w:t xml:space="preserve">Quelle: </w:t>
      </w:r>
      <w:r>
        <w:t>https://mcp.opencaselaw.ch/entscheid/bvger_E-2514_2012</w:t>
      </w:r>
    </w:p>
    <w:p>
      <w:r>
        <w:t>FR: TAF E-2514/2012 du 21 novembre 2013</w:t>
      </w:r>
    </w:p>
    <w:p>
      <w:r>
        <w:t>IT: TAF E-2514/2012 del 21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formgenügend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Bundesverwaltungsgericht überprüft die angefochtene Verfügung auf Verletzung von Bundesrecht, unrichtige und unvollständige Feststellung des rechtserheblichen Sachverhalts und Unangemessenheit hin (Art. 106 Abs. 1 AsylG).</w:t>
      </w:r>
    </w:p>
    <w:p>
      <w:r>
        <w:rPr>
          <w:b/>
        </w:rPr>
        <w:t>E. 3.2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3.3</w:t>
      </w:r>
    </w:p>
    <w:p>
      <w:r>
        <w:t>Die Beschwerde ist im Verfahren einzelrichterlicher Zuständigkeit mit Zustimmung eines zweiten Richters zu behandeln, weil sie sich im Ergebnis als offensichtlich begründet erweist (Art. 111 Bst. e AsylG).</w:t>
      </w:r>
    </w:p>
    <w:p>
      <w:r>
        <w:rPr>
          <w:b/>
        </w:rPr>
        <w:t>E. 4.1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4. April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4.2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w:t>
      </w:r>
    </w:p>
    <w:p>
      <w:r>
        <w:rPr>
          <w:b/>
        </w:rPr>
        <w:t>E. 4.3</w:t>
      </w:r>
    </w:p>
    <w:p>
      <w:r>
        <w:t>Demnach ist die angefochtene Verfügung aufzuheben und die Sache zur vollständigen Sachverhaltsfeststellung und zu neuer Entscheidung an die Vorinstanz zurückzuweisen (unter Beilage der Beweismittel im Original).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5.1</w:t>
      </w:r>
    </w:p>
    <w:p>
      <w:r>
        <w:t>Bei diesem Ausgang des Verfahrens sind keine Kosten zu erheben (Art. 63 VwVG).</w:t>
      </w:r>
    </w:p>
    <w:p>
      <w:r>
        <w:rPr>
          <w:b/>
        </w:rPr>
        <w:t>E. 5.2</w:t>
      </w:r>
    </w:p>
    <w:p>
      <w:r>
        <w:t>Die Beschwerdeinstanz kann der ganz oder teilweise obsiegenden Partei von Amtes wegen oder auf Begehren eine Entschädigung für ihr erwachsene notwendige und verhältnismässige hohe Kosten zusprechen (Art. 64 Abs. 1 VwVG). Einerseits gilt die Beschwerdeführerin insoweit als obsiegende Partei, als ihrem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der Beschwerdeführenden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lassen sich die Sachlage und damit die prozessualen Erfolgsaussichten der Beschwerde auch im Zeitpunkt ihrer Einreichung nicht näher bestimmen. In Anwendung der gesetzlichen Bemessungsfaktoren und angesichts der besonderen Umstände erscheint eine (pauschalisierende) Parteientschädigung von Fr. 1'600.- angemessen. Die Vorinstanz ist in Anwendung von Art. 64 Abs. 2 VwVG anzuweisen, der Beschwerdeführerin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