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E-2511/2015 vom 17. Juni 2015</w:t>
      </w:r>
    </w:p>
    <w:p>
      <w:r>
        <w:t>Bundesverwaltungsgericht, 2015-06-17, DE</w:t>
      </w:r>
    </w:p>
    <w:p>
      <w:r>
        <w:rPr>
          <w:b/>
        </w:rPr>
        <w:t xml:space="preserve">Quelle: </w:t>
      </w:r>
      <w:r>
        <w:t>https://mcp.opencaselaw.ch/entscheid/bvger_E-2511_2015</w:t>
      </w:r>
    </w:p>
    <w:p>
      <w:r>
        <w:t>FR: TAF E-2511/2015 du 17 juin 2015</w:t>
      </w:r>
    </w:p>
    <w:p>
      <w:r>
        <w:t>IT: TAF E-2511/2015 del 17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Gegenstand des vorliegenden Beschwerdeverfahrens bilden einzig die Fragen Flüchtlingseigenschaft, Asyl und Wegweisung. Der Wegweisungsvollzug ist nicht zu prüfen, nachdem die Vorinstanz die vorläufige Aufnahme zugunsten des Beschwerdeführers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Aussagen des Beschwerdeführers würden in ihrer Gesamtheit zahlreiche Unstimmigkeiten aufweisen. Seine Vorbringen würden deshalb den Anforderungen an die Glaubhaftigkeit gemäss Art. 7 AsylG nicht standhalten. So würden seine Aussagen sowohl zu seiner Ausbildung als Diakon, als auch dazu, bei wem er aufgewachsen sei, Ungereimtheiten aufweisen. Bei der Schilderung der Umstände der angeblichen Wehrdienstverweigerung verstricke sich der Beschwerdeführer in Widersprüche. So habe er einerseits angegeben, sein Heimatdorf bereits nach der ersten Vorladung verlassen zu haben, anderseits erst nach der zweiten.</w:t>
      </w:r>
    </w:p>
    <w:p>
      <w:r>
        <w:rPr>
          <w:b/>
        </w:rPr>
        <w:t>E. 4.2</w:t>
      </w:r>
    </w:p>
    <w:p>
      <w:r>
        <w:t>Der Beschwerdeführer wendet dagegen ein, er habe das Dorf nicht bereits nach der ersten Vorladung verlassen, sondern sich versteckt gehalten. Seine Frau habe ihm sodann von der zweiten Vorladung erzählt, woraufhin er entschieden habe, das Land zu verlassen. Die Beurteilung des SEM beschränke sich ansonsten auf vermeintliche beziehungsweise unbedeutende Widersprüche. Sowohl bei der Frage, bei wem er aufgewachsen sei, als auch bei den Aussagen zu seiner Diakonie-Ausbildung, handle es sich nicht um Widersprüche, sondern einerseits um ein Missverständnis und andererseits um eine unterschiedliche Optik. Zudem habe das SEM nur einseitig nach Widersprüchen gesucht. Eine Gesamtwürdigung aller Aussagen habe nicht stattgefunden.</w:t>
      </w:r>
    </w:p>
    <w:p>
      <w:r>
        <w:rPr>
          <w:b/>
        </w:rPr>
        <w:t>E. 4.3</w:t>
      </w:r>
    </w:p>
    <w:p>
      <w:r>
        <w:t>Die Schlussfolgerungen der Vorinstanz sind indes weder in tatsächlicher noch in rechtlicher Hinsicht zu beanstanden. In der angefochtenen Verfügung wird einlässlich begründet, weshalb die Aussagen des Beschwerdeführers in wesentlichen Punkten widersprüchlich und unglaubhaft ausgefallen sind. So stellte die Vorinstanz zutreffend fest, dass sich der Beschwerdeführer betreffend Zeitpunkt der Flucht aus seinem Heimatdorf widerspricht. In der BzP sagt er aus, er sei am 20. März 2011 nach B._______ geflohen, also nach der zweiten Aufforderung zum Militärdienst (SEM-Akten, A4/10 S. 7). In der Anhörung zu den Asylgründen hingegen führt er aus, er habe sich bereits nach der ersten Vorladung in B._______ versteckt (SEM-Akten, A12/16 F112 ff.). Dass er auf Beschwerdeebene vorbringt, er habe sein Dorf nach der ersten Vorladung nicht endgültig verlassen, sondern sich nur teilweise in B._______ versteckt, kann ihm nicht geglaubt werden, zumal er in der Anhörung ebenfalls vorbringt, er sei vom 25. Januar 2011 bis im März in B._______ gewesen (SEM-Akten, A12/16 F119). Obwohl er vom Befrager mehrmals aufgefordert wird, Details seiner Zeit in B._______ preiszugeben, antwortet der Beschwerdeführer ausweichend und oberflächlich (SEM-Akten, A12/16 F113 f.). Zudem gelingt es dem Beschwerdeführer nicht nachvollziehbar zu erklären, warum er das Land erst nach der zweiten Vorladung verliess. Hierzu bringt er einzig vor, er habe Angst gehabt (SEM-Akten, A12/16 F121). Bei den Aussagen des Beschwerdeführers dazu, ob er bei seiner Mutter oder bei seiner Grossmutter aufgewachsen ist und wann er seine Ausbildung zum Diakon begonnen hat, handelt es sich, wie vom Beschwerdeführer zutreffend vorgebracht, um nebensächliche Tatsachen mit geringer Asylrelevanz. Doch bestätigen die widersprüchlichen Aussagen des Beschwerdeführers hierzu die Schlussfolgerung der Vorinstanz, welche richtigerweise feststellt, dass seine Vorbringen den Anforderungen an das Glaubhaftmachen nicht gerecht werden. Der Beschwerdeführer vermag nicht substantiiert darzutun, inwiefern die Vorinstanz zu Unrecht auf Unglaubhaftigkeit geschlossen hat. Um diesbezüglich Wiederholungen zu vermeiden, kann vollumfänglich auf die zutreffenden Erwägungen in der angefochtenen Verfügung verwiesen werden.</w:t>
      </w:r>
    </w:p>
    <w:p>
      <w:r>
        <w:rPr>
          <w:b/>
        </w:rPr>
        <w:t>E. 5.1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In Übereinstimmung mit der Vorinstanz und dem Beschwerdeführer geht das Gericht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Bundesverwaltungsgerichts E-5045/2009 vom 29. November 2012 E. 6.4.2 m.w.H.).</w:t>
      </w:r>
    </w:p>
    <w:p>
      <w:r>
        <w:rPr>
          <w:b/>
        </w:rPr>
        <w:t>E. 5.3</w:t>
      </w:r>
    </w:p>
    <w:p>
      <w:r>
        <w:t>Die Vorinstanz kommt in der angefochtenen Verfügung zum Schluss, die geltend gemachte illegale Ausreise sei unglaubhaft. So erwähne der Beschwerdeführer in der BzP einen Schlepper, dem er 20'000 Nakfa bezahlt habe, in der Anhörung zu den Asylgründen erwähne er den Schlepper mit keinem Wort. Zudem erzähle er plötzlich, er sei auf dem Weg nach Kassala von Rashaidas entführt worden. Warum er dieses Ereignis nicht schon anhand der BzP erzählt habe, sei nicht nachvollziehbar. Zudem schildere er die gesamte Ausreise sehr allgemein und in stereotyper Weise. Obwohl eine legale Ausreise nur unter bestimmten Voraussetzungen möglich sei, entbinde das den Beschwerdeführer nicht davon, das Vorliegen seiner illegalen Ausreise zu beweisen oder zumindest glaubhaft zu machen. Die Vorinstanz verweist dabei auf das Urteil des Bundesverwaltungsgericht E-4799/2012 vom 21. Februar 2014, E. 6.3.</w:t>
      </w:r>
    </w:p>
    <w:p>
      <w:r>
        <w:rPr>
          <w:b/>
        </w:rPr>
        <w:t>E. 5.4</w:t>
      </w:r>
    </w:p>
    <w:p>
      <w:r>
        <w:t>Der Beschwerdeführer bringt vor, er sei eritreischer Staatsangehörigen, der sich vor seiner Flucht in Eritrea aufgehalten habe. Hinweise auf eine legale Ausreise, wie sie beim von der Vorinstanz zitierten Urteil vorgelegen haben, würden keine Vorliegen. Widersprüche gebe es in seinen Aussagen keine, sei doch bekannt, dass die Rashaidas als Fluchthelfer zwischen Eritrea und dem Sudan tätig seien. Es sei nachvollziehbar, dass der Beschwerdeführer erst in der Anhörung Details zu seinen Schleppern genannt habe. Er habe Eritrea deshalb ohne gültiges Visum und daher illegal verlassen, weshalb er bei seiner Rückkehr nach Eritrea erheblichen Nachteilen i.S.v. Art. 3 AsylG ausgesetzt wäre.</w:t>
      </w:r>
    </w:p>
    <w:p>
      <w:r>
        <w:rPr>
          <w:b/>
        </w:rPr>
        <w:t>E. 5.5</w:t>
      </w:r>
    </w:p>
    <w:p>
      <w:r>
        <w:t>Aufgrund der Akten stimmt das Gericht der Vorinstanz darin zu, dass die Vorbringen des Beschwerdeführers zu den Umständen der Ausreise unglaubhaft sind. So bringt der Beschwerdeführer einerseits vor, ein Schlepper habe ihn und seinen Freund bis nach Kassala begleitet (SEM-Akten, A4/10 S. 6), andererseits sei er nur mit seinem Freund unterwegs gewesen (SEM-Akten, A12/16 F132). Zudem bringt er in der Anhörung zu den Asylgründen erstmals vor, sie seien auf ihrer Flucht von Rashaidas angegriffen und entführt worden. Sie seien sogar eingesperrt worden und in der Nacht geflohen (SEM-Akten, A12/16 F125 ff.). Der Vorinstanz ist dabei zuzustimmen, wenn sie feststellt, es sei nicht nachvollziehbar, warum er ein so einschneidendes Ereignis wie eine Entführung in der BzP nicht zu Protokoll gibt. Auf Beschwerdeebene bringt der Beschwerdeführer vor, es handle sich dabei um ein und denselben Sachverhalt. Es sei bekannt, dass sich die Rashaidas zwischen Eritrea und dem Sudan als Fluchthelfer betätigen würden. Sie seien von ihnen aufgegriffen worden und erst nach Bezahlung eines Lösegeldes hätten sie ihre Flucht fortsetzen können. Dies deckt sich jedoch weder mit den in der Anhörung gemachten Aussagen, wonach sie von den Rashaidas in der Nacht geflohen seien, noch mit seinen Aussagen in der BzP, wonach sie den gesamten Weg von seinem Heimatdorf bis nach Kassala von einem Schlepper begleitet worden seien. Zudem ist anzumerken, dass die angebliche illegale Ausreise vom Beschwerdeführer äusserst oberflächlich und in stereotyper Weise geschildert wurde, obwohl der Befrager den Beschwerdeführer immer wieder auffordert, Details zu nennen. So sagt der Beschwerdeführer lediglich, sie seien zuerst in einem Bus gereist, dann zu Fuss weitergegangen. Es sei eine lange Strecke gewesen, sie seien nur nachts gelaufen und hätten Durst gehabt. Die Landschaft beschreibt er lediglich als Ebene. Mit seinem Freund habe er während der ganzen Flucht nicht viel gesprochen (vgl. SEM-Akten, A12/16 F130 ff.). Es ist offensichtlich, dass der Beschwerdeführer die wahren Umstände seiner Flucht verheimlicht.</w:t>
      </w:r>
    </w:p>
    <w:p>
      <w:r>
        <w:rPr>
          <w:b/>
        </w:rPr>
        <w:t>E. 5.6</w:t>
      </w:r>
    </w:p>
    <w:p>
      <w:r>
        <w:t>Obwohl der Beschwerdeführer die wahren Umstände seiner Ausreise offensichtlich verheimlicht, lässt sich zwar (angesichts des Alters zur Zeit der Ausreise und in Berücksichtigung der Erwägung 5.2)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5.2 dargelegten Rechtsprechung nicht davon entbunden, subjektive Nachfluchtgründe nachzuweisen oder zumindest glaubhaft zu machen. Die Beweis- und Substanziierungslast gilt von Gesetzes wegen und wird nicht etwa umgekehrt. Unter diesen Umständen ist aufgrund der unglaubhaften Vorbringen im erstinstanzlichen Verfahren, welche im Übrigen ein schiefes Licht auf die persönliche Glaubwürdigkeit des Beschwerdeführers werfen, und angesichts des vollständigen Fehlens nachvollziehbarer Erklärungen auf Beschwerdeebene festzustellen, dass er das Vorliegen subjektiver Nachfluchtgründen nicht nachzuweisen oder zumindest glaubhaft zu machen vermag. Die Vorinstanz hat deshalb zu Recht die Flüchtlingseigenschaft verneint und das Asylgesuch des Beschwerdeführers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