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E-250/2017 vom 19. Mai 2017</w:t>
      </w:r>
    </w:p>
    <w:p>
      <w:r>
        <w:t>Bundesverwaltungsgericht, 2017-05-19, DE</w:t>
      </w:r>
    </w:p>
    <w:p>
      <w:r>
        <w:rPr>
          <w:b/>
        </w:rPr>
        <w:t xml:space="preserve">Quelle: </w:t>
      </w:r>
      <w:r>
        <w:t>https://mcp.opencaselaw.ch/entscheid/bvger_E-250_2017</w:t>
      </w:r>
    </w:p>
    <w:p>
      <w:r>
        <w:t>FR: TAF E-250/2017 du 19 mai 2017</w:t>
      </w:r>
    </w:p>
    <w:p>
      <w:r>
        <w:t>IT: TAF E-250/2017 del 19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Mit der Beschwerde wird die Überprüfung der Frage der Flüchtlingseigenschaft infolge subjektiver Nachfluchtgründe und eventualiter eine Rückweisung der Sache an die Vorinstanz beantragt. Damit ist die vorinstanzliche Verfügung im Asyl- und im Wegweisungspunkt (vgl. Ziffern 2 und 3 des Verfügungsdispositivs) unangefochten in Rechtskraft erwachsen. Ebenfalls nicht angefochten ist grundsätzlich die Frage der vorläufigen Aufnahme in der Schweiz. Gegenstand des vorliegenden Beschwerdeverfahrens bildet demnach einzig die Frage, ob der Beschwerdeführerin die Flüchtlingseigenschaft aufgrund der illegalen Ausreise als subjektiver Nachfluchtgrund zuzuerkennen ist.</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w:t>
      </w:r>
    </w:p>
    <w:p>
      <w:r>
        <w:t>Zu den geltend gemachten Vorbringen, die Beschwerdeführerin habe Eritrea illegal verlassen und deswegen bei einer Rückkehr eine Inhaftierung zu befürchten, führte das SEM in der angefochtenen Verfügung aus, es lägen keine konkreten Indizien dafür vor, dass sie bei einer Rückkehr ernsthafte Nachteile zu gewärtigen hätte. Mit dem Verweis auf die aktuellen Länderkenntnisse sei im Fall von Eritrea die Behandlung von Rückkehrenden hauptsächlich davon abhängig, ob zum einen eine freiwillige oder zwangsweise Rückkehr erfolge und zum anderen davon, welchen Nationaldienst-Status sie vor ihrer Ausreise hatten. Die illegale Ausreise spiele dabei nur eine untergeordnete Rolle. Die Beschwerdeführerin habe weder den Nationaldienst verweigert noch sei sie aus diesem desertiert und darüber hinaus seien die Vorbringen zum angeblichen Militärdienstaufgebot unglaubhaft ausgefallen, so dass sie nicht gegen die eritreische Proclamation on National Service von 1995 verstossen habe. Die Anforderungen an die Feststellung einer begründeten Furcht vor zukünftiger Verfolgung seien nicht erfüllt, so dass diese Vorbringen asylrechtlich unbeachtlich seien.</w:t>
      </w:r>
    </w:p>
    <w:p>
      <w:r>
        <w:rPr>
          <w:b/>
        </w:rPr>
        <w:t>E. 5.1</w:t>
      </w:r>
    </w:p>
    <w:p>
      <w:r>
        <w:t>Die Beschwerdeführerin moniert, indem sich das SEM im angefochtenen Entscheid weder zur Glaubhaftigkeit noch über die Konsequenzen der illegalen Ausreise äussere, verletze es seine Begründungspflicht. Die Beschwerdeführerin habe ihre Flucht und die illegale Ausreise vor allem in der vertieften Anhörung nachvollziehbar sowie mit Details versehen und daher glaubhaft dargelegt. Aufgrund von Verweisen in kürzlich ergangenen Urteilen des Bundesverwaltungsgerichts auf die gängige Praxis, wonach das illegale Verlassen von Eritrea zur Erfüllung der Flüchtlingseigenschaft führe, müsse geschlossen werden, dass diese nach wie vor gültig sei und dies unabhängig vom Alter der betroffenen Person.</w:t>
      </w:r>
    </w:p>
    <w:p>
      <w:r>
        <w:rPr>
          <w:b/>
        </w:rPr>
        <w:t>E. 5.2</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w:t>
      </w:r>
    </w:p>
    <w:p>
      <w:r>
        <w:rPr>
          <w:b/>
        </w:rPr>
        <w:t>E. 5.2.1</w:t>
      </w:r>
    </w:p>
    <w:p>
      <w:r>
        <w:t>Diese Rechtsprechung wurde jüngst aufgegeben. 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 Eine asylsuchende Person muss diese zusätzlichen Anknüpfungspunkte nachweisen oder zumindest glaubhaft machen (Art. 7 Abs. 1 AsylG). Im Fall der Beschwerdeführerin sind keine solchen zusätzlichen Gefährdungsfaktoren ersichtlich. Wie das SEM zurecht feststellte, machte sie in der Anhörung nicht mehr geltend, zum Militärdienst aufgeboten worden zu sein, obwohl dies in der BzP (nebst der Inhaftierung der Mutter), ein Hauptvorbringen darstellte (A5 S.8). Ihre Erklärung, das Militärdienstaufgebot deshalb nicht mehr genannt zu haben, da sie dieses bereits in der BzP vorgebracht habe (A37 F158-162), überzeugt nicht. Ebenso wenig ihre Ausführungen, sie habe die Frage nach Problemen mit militärischen Behörden (A37 F133) darum verneint, weil das Aufgebot nicht von Soldaten, sondern von der Gemeinde ergangen sei (A37 F160). Folglich ist dem SEM beizupflichten, wenn ausgeführt wird, ein Aufgebot für den Nationaldienst erscheine unglaubhaft, weshalb die Beschwerdeführerin nicht als Deserteurin betrachtet werden könne. Sie verneinte ausserdem allfällige Probleme mit den eritreischen Behörden (A37 F132) oder politische Aktivitäten (A37 F132, F134). Vorliegend stellt auch die Glaubenszugehörigkeit keinen derartigen Anknüpfungspunkt dar, da, wie die Vorinstanz zutreffend und hinreichend begründend ausführte, ihre angeblich deshalb ergangenen Inhaftierungen nicht glaubhaft erscheinen. Zur Vermeidung von Wiederholungen kann daher grundsätzlich auf die angefochtene Verfügung verwiesen werden. Zwar gab die Beschwerdeführerin an, wie ihre Mutter Angehörige der Pfingstgemeinde und deshalb in den Fokus eritreischer Sicherheitskräfte geraten zu sein (A5 S.8, A37 F85), schilderte aber in erster Linie stets, was ihrer Mutter oder deren Freundinnen zugestossen war (A37 F85/F86) und dass es den Sicherheitskräften einzig um den Erhalt eines "Geständnisses" gegangen sei (A37 F87-88, F91). Auf die Frage, welche Bedeutung dieser Glaube für sie selbst habe, antwortete sie in pauschaler Weise: "Ich habe an dem Glauben nichts Schlechtes gefunden, man treibt sich nicht herum, man spielt nicht, man trinkt nicht. Die Sachen, die man macht, sind, man betet, man liest (...)" (A37 F97). Danach gefragt, ob es für die Beschwerdeführerin nicht gefährlich gewesen sei, nach der Inhaftierung weiterhin mit den Mitgliedern der Glaubensgemeinschaft zusammen zu sein, führte sie aus "Die Gefahr gibt es, das ist auf jeden Fall so. Sie haben mir gesagt, dass ich das von meiner Mutter abgeschaut habe, dass ich mich auf den Glauben meines Vaters und meiner Grossmutter besinnen sollte (...) Das haben sie zu mir gesagt, sie haben mich dann gehenlassen, die anderen haben sie noch dabehalten (...)" (A37 F98). Zwischen Ihrer Freilassung und der Ausreise sei sodann nichts Spezielles vorgefallen: "Ja, also es ist nichts passiert, aber es war so, dass sie immer wieder gekommen sind und nachgefragt haben." (A37 F103). Dass die Beschwerdeführerin aufgrund ihrer Angehörigkeit zur Pfingstgemeinde von den eritreischen Behörden als missliebige Person betrachtet würde und deshalb bei einer Rückkehr flüchtlingsrechtlich begründende Nachteile zu befürchten hätte, ist daher nicht ersichtlich und geht aus den zitierten Aussagen nicht hervor, lag der Fokus der Behörden ihren Aussagen zufolge doch auf ihrer Mutter, während ihr selbst lediglich ins Gewissen geredet, sie danach jedoch wieder entlassen wurde.</w:t>
      </w:r>
    </w:p>
    <w:p>
      <w:r>
        <w:rPr>
          <w:b/>
        </w:rPr>
        <w:t>E. 5.3</w:t>
      </w:r>
    </w:p>
    <w:p>
      <w:r>
        <w:t>Zusammenfassend konnte die Beschwerdeführerin das Vorliegen von subjektiven Nachfluchtgründen nicht nachweisen oder zumindest glaubhaft machen. Die Vorinstanz hat deshalb zu Recht die Flüchtlingseigenschaft verneint.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 Die Vorinstanz hat demnach ihre Begründungspflicht nicht verletzt, wenn sie im Fall der Beschwerdeführerin die Glaubhaftigkeit der Vorbringen zur illegalen Ausreise nicht geprüft hat.</w:t>
      </w:r>
    </w:p>
    <w:p>
      <w:r>
        <w:rPr>
          <w:b/>
        </w:rPr>
        <w:t>E. 5.4</w:t>
      </w:r>
    </w:p>
    <w:p>
      <w:r>
        <w:t>Erfüllt die Beschwerdeführerin die Flüchtlingseigenschaft nicht, ist folglich das Begehren um Einbezug ihres Sohnes B._______ in die Flüchtlingseigenschaft ebenfalls abzuweisen.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16. Dezember 2016 die vorläufige Aufnahme der Beschwerdeführenden (wegen Unzumutbarkeit) in der Schweiz angeordnet hat und die Wegweisungsvollzugshindernisse alternativer Natur sind, erübrigen sich praxisgemäss weitere Ausführungen zur Durchführbarkeit des Wegweisungsvollzugs wegen Unzulässigkeit oder Unmöglichkeit. Die vorläufige Aufnahme tritt mit dem vorliegenden Entscheid formell in Kraft.</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der Beschwerdeführerin aufzuerlegen (Art. 63 Abs. 1 VwVG). Nachdem das Gesuch um Gewährung der unentgeltlichen Prozessführung mit Verfügung vom 1. Februar 2017 gutgeheissen wurde und den Akten keine Hinweise auf eine Veränderung der finanziellen Verhältnisse zu entnehmen sind, ist von einer Kostenauflage abzusehen.</w:t>
      </w:r>
    </w:p>
    <w:p>
      <w:r>
        <w:rPr>
          <w:b/>
        </w:rPr>
        <w:t>E. 9.2</w:t>
      </w:r>
    </w:p>
    <w:p>
      <w:r>
        <w:t>Der Beschwerdeführerin wurde mit gleicher Verfügung die unentgeltliche Rechtsverbeiständung i.S. von Art. 110a Abs. 1 AsylG zugesprochen und Ass. iur. Christian Hoffs als unentgeltlicher Rechtsbeistand beigeordnet.</w:t>
      </w:r>
    </w:p>
    <w:p>
      <w:r>
        <w:rPr>
          <w:b/>
        </w:rPr>
        <w:t>E. 9.3</w:t>
      </w:r>
    </w:p>
    <w:p>
      <w:r>
        <w:t>Das Honorar des Rechtsbeistands ist bei diesem Verfahrensausgang durch die Gerichtskasse zu vergüten. Der amtliche Rechtsbeistand weist in der Kostennote vom 12. Januar 2017 einen Aufwand von 3.25 Stunden zu einem Stundenansatz von Fr. 200.- beziehungsweise - im Falle der Verbeiständung nach Art. 110a AsylG - von Fr. 150.- sowie zusätzliche Auslagen von Fr. 70.-, somit Gesamtkosten von total Fr. 720.- beziehungsweise, falls er als Rechtsbeistand eingesetzt werde, von Fr. 557.50 aus. Das Gericht geht bei amtlicher Vertretung durch Anwältinnen und Anwälte in der Regel von einem Stundenansatz von Fr. 200.- bis Fr. 220.- und bei anderen Rechtsbeiständinnen und -beiständen von Fr. 100.- bis Fr. 150.- aus (vgl. Art. 12 i.V.m. Art. 10 Abs. 2 des Reglements vom 21. Februar 2008 über die Kosten und Entschädigungen vor dem Bundesverwaltungsgericht [VGKE, SR 173.320.2]). Der mit Verfügung vom 1. Februar 2017 amtlich eingesetzte Rechtsbeistand ass. iur. Christian Hoffs ist nicht Rechtsanwalt, weshalb der - für diesen Fall - geltend gemachte Stundenansatz von Fr. 150.- der Praxis des Bundesverwaltungsgerichts entspricht. Der geltend gemachte zeitliche Aufwand erscheint angemessen. Unter Hinzurechnung der Auslagen von Fr. 70.- ist das Honorar in Anwendung der massgeblichen Bemessungsfaktoren gemäss Art. 7 ff. VGKE auf insgesamt somit antragsgemäss auf Fr. 557.50 festzusetzen (inkl. Auslagen). Dieser Betrag ist dem amtlich eingesetzten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