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E-2504/2007 vom 1. Dezember 2010</w:t>
      </w:r>
    </w:p>
    <w:p>
      <w:r>
        <w:t>Bundesverwaltungsgericht, 2010-12-01, DE</w:t>
      </w:r>
    </w:p>
    <w:p>
      <w:r>
        <w:rPr>
          <w:b/>
        </w:rPr>
        <w:t xml:space="preserve">Quelle: </w:t>
      </w:r>
      <w:r>
        <w:t>https://mcp.opencaselaw.ch/entscheid/bvger_E-2504_2007</w:t>
      </w:r>
    </w:p>
    <w:p>
      <w:r>
        <w:t>FR: TAF E-2504/2007 du 1 décembre 2010</w:t>
      </w:r>
    </w:p>
    <w:p>
      <w:r>
        <w:t>IT: TAF E-2504/2007 del 1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Hinsichtlich der vom Beschwerdeführer in Bezug auf das erstin-stanzliche Asylverfahren geltend gemachten, indessen ärztlich nicht belegten Konzentrationsschwierigkeiten, Angstzustände und Depres-sionen sowie die behaupteten Übersetzungsprobleme anlässlich der Bundesanhörung kann ohne Weiteres auf die zutreffenden Feststel-lungen des BFM in seiner Vernehmlassung vom 22. Mai 2007 verwie-sen, ohne diese im Einzelnen wiederholen zu müssen (vgl. vorstehend Sachverhalt Bst. D).</w:t>
      </w:r>
    </w:p>
    <w:p>
      <w:r>
        <w:rPr>
          <w:b/>
        </w:rPr>
        <w:t>E. 4.2</w:t>
      </w:r>
    </w:p>
    <w:p>
      <w:r>
        <w:t>Zur Begründung seines Asylgesuchs macht der Beschwerdeführer ei-nerseits Verfolgung durch mutmassliche UCK-Mitglieder und ander-seits Verfolgung durch die serbischen Behörden geltend. Nachstehend werden diese Vorbringen - mit Bezug auf das Gebiet des heute souve-ränen Staates Kosovo - zunächst auf ihre Asylrelevanz hin geprüft.</w:t>
      </w:r>
    </w:p>
    <w:p>
      <w:r>
        <w:rPr>
          <w:b/>
        </w:rPr>
        <w:t>E. 4.2.1</w:t>
      </w:r>
    </w:p>
    <w:p>
      <w:r>
        <w:t>Bei den in Art. 3 Abs. 2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Eingriffe müssen eine gewisse Schwere erreichen, um als asylrelevant angesehen zu werden. Dabei erübrigt sich das Kriterium der hinreichenden Intensität bei denjenigen Massnahmen, welche einen unerträglichen psychischen Druck bewirken, zumal diese schon im Begriff der Unerträglichkeit des Druckes mitenthalten ist (vgl. Alber-to Achermann/ Christina Hausammann, Handbuch des Asylrechts, 2. voll-ständig überarbeitete Auflage, Bern/Stuttgart 1991, S. 75). Wo die Zu-mutbarkeitsschwelle liegt, ist im Einzelfall festzulegen, wobei nach den verschiedenen Eingriffsarten zu unterscheiden ist (vgl. a.a.O., S. 77).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w:t>
      </w:r>
    </w:p>
    <w:p>
      <w:r>
        <w:rPr>
          <w:b/>
        </w:rPr>
        <w:t>E. 4.2.2</w:t>
      </w:r>
    </w:p>
    <w:p>
      <w:r>
        <w:t>Der Beschwerdeführer gab zunächst an, er sei erstmals im Au-gust 2004 und danach im Oktober 2004 in Montenegro (damals noch 'Serbien und Montenegro') auf offener Strasse und schliesslich im Ja-nuar 2005 vor seiner Wohnung bedroht worden (vgl. Akten BFM A7/11 S. 4). Im März 2004 habe er seine Verfolger ein weiteres Mal auf der Strasse gesehen, ohne jedoch erkannt worden zu sein (vgl. a.a.O. S. 6). Diese hätten es jeweils bei mündlichen Drohungen bewenden lassen, da sie sich nicht getraut hätten, ausserhalb ihres Territoriums gegen ihn vorzugehen (vgl. a.a.O. S. 5 und 6). Er habe nach dem Vor-fall im Januar 2005 seine Wohnung gewechselt, und es sei in der Fol-ge bis zu seiner Ausreise im April 2005 zu keinen weiteren Zwischen-fällen gekommen (vgl. a.a.O. S. 6). Seine Familie sei zu Hause in (...) zwischen 1999 und 2003 mindestens sechs Mal von Unbekannten aufgesucht und bedroht worden, wobei es auch hier bei mündlichen Drohungen geblieben sei (vgl. a.a.O. S. 5). Bei diesen vom Beschwerdeführer geltend gemachten Drohungen handelt es sich nicht um Eingriffe in Leib, Leben oder Freiheit. Sie sind somit gemäss den Ausführungen in Erwägung 4.2.1 nicht geeignet, eine asylrelevan-te Verfolgung zu begründen.</w:t>
      </w:r>
    </w:p>
    <w:p>
      <w:r>
        <w:rPr>
          <w:b/>
        </w:rPr>
        <w:t>E. 4.2.3</w:t>
      </w:r>
    </w:p>
    <w:p>
      <w:r>
        <w:t>Im Folgenden ist sodann zu prüfen, ob der Beschwerdeführer al-lenfalls begründete Furcht hat, im Falle einer Rückkehr nach Kosovo einem asylrelevanten Eingriff seitens der UCK ausgesetzt zu sein. Diesbezüglich macht er geltend, die Albaner hätten es anlässlich der Vorfälle vom August und Oktober 2004 und vom Januar 2005 nur des-halb bei verbalen Drohungen bewenden lassen, weil sie sich ausser-halb ihres Territoriums befunden hätten (vgl. A7/11 S. 6). Seine Frau habe ihn davor gewarnt, nach Hause zurückzukehren, da Unbekannte dort seit seinem Wegzug im Jahre 1999 wiederholt nach ihm gesucht und für den Fall seiner Rückkehr gedroht hätten (vgl. a.a.O. S. 5). Trotz dieser Drohungen kehrte der Beschwerdeführer eigenen Aussagen zu-folge im Jahre 2004 freiwillig nach C._____ zurück, um seine Familie zu besuchen (vgl. A1/9 S. 4). Angesichts dieses Verhaltens kann vorliegend davon ausgegangen werden, dieser habe keine be-gründete Furcht in Zukunft in Kosovo einer asylrelevanten Verfolgung ausgesetzt zu sein.</w:t>
      </w:r>
    </w:p>
    <w:p>
      <w:r>
        <w:rPr>
          <w:b/>
        </w:rPr>
        <w:t>E. 4.3</w:t>
      </w:r>
    </w:p>
    <w:p>
      <w:r>
        <w:t>Schliesslich bleibt zu prüfen, ob der Beschwerdeführer zum heu-tigen Zeitpunkt allenfalls begründete Furcht hat, in Zukunft wegen sei-ner wiederholten Desertion aus der serbischen Armee von den koso-varischen beziehungsweise den serbischen Behörden verfolgt zu wer-den.</w:t>
      </w:r>
    </w:p>
    <w:p>
      <w:r>
        <w:rPr>
          <w:b/>
        </w:rPr>
        <w:t>E. 4.3.1</w:t>
      </w:r>
    </w:p>
    <w:p>
      <w:r>
        <w:t>Nachdem sich der Kosovo am 17. Februar 2008 von Serbien los-gelöst und die staatliche Unabhängigkeit erklärt hatte, trat am 15. Juni 2008 die neue Verfassung in Kraft. Eine Reihe von Staaten - darunter die Schweiz - haben Kosovo seither als souveränen Staat anerkannt. Am 6. März 2009 bezeichnete der Bundesrat Kosovo als verfolgungs-sicheren Staat ("Safe Country") gemäss Art. 6a Abs. 2 Bst. a AsylG. Dieser Beschluss trat am 1. April 2009 in Kraft. Der neue Staat Kosovo verabschiedete am 20. Februar 2008 ein Nationalitätengesetz (N° 03/L 034), das am 15. Juni 2008 in Kraft trat. Gemäss Art. 29 Abs. 1 dieses Gesetzes gelten Personen, die am 1. Januar 1998 die jugoslawische Staatsangehörigkeit besassen und deren Wohnsitz auf dem Gebiet des heutigen Kosovo hatten, ungeachtet einer Doppel-bürgschaft und deren aktuellen Wohnsitzes als kosovarische Staatsangehörige. Diese Regelung gilt auch für direkte Nachkommen (Art. 29 Abs. 2) und für alle anderen Personen, die nach dem 1. Januar 1998 nach den Regeln der UNMIK (UNMIK Regulation N° 2000/13) im Bevölkerungsregister eingetragen waren. Kein Kriterium für den Erhalt der kosovarischen Staatsangehörigkeit ist die Ethnie (vgl. dazu auch das zur Publikation vorgesehene Grundsatzurteil des Bundesverwal-tungsgerichts BVGE D-7561/2008 vom 15. April 2010). Eigenen Angaben zufolge wohnte der Beschwerdeführer bis zu seiner Ausreise zeitlebens in C._____ (Gemeinde Prizren). Demzufolge ist davon auszugehen, dass er die damalige jugoslawische Staatsangehörigkeit besass und heute in Anwendung von Art. 29 i.V.m. Art. 28 des koso-varischen Nationalitätengesetzes (N° 03/L 034) kosovarischer Staats-angehöriger ist. Bezüglich der vom Bundesrat als Safe Country be-zeichneten Staaten gilt sodann die gesetzliche Vermutung, dass in die-sen Sicherheit vor Verfolgung besteht, diese die Menschenrechte re-spektieren und sich an die Verpflichtungen aus den internationalen Konventionen im Menschenrechts- und Flüchtlingsbereich halten.</w:t>
      </w:r>
    </w:p>
    <w:p>
      <w:r>
        <w:rPr>
          <w:b/>
        </w:rPr>
        <w:t>E. 4.3.2</w:t>
      </w:r>
    </w:p>
    <w:p>
      <w:r>
        <w:t>Schliesslich ist darauf hinzuweisen, dass das jugoslawische Par-lament am 26. Februar 2001 ein Amnestiegesetz verabschiedet hat, welches am 3. März 2001 in Kraft getreten ist. Darunter fallen unter anderem die Straftatbestände der Refraktion, Desertion und Befehls-verweigerung, die bis zum 7. Oktober 2000 begangen worden sind. Die vom Beschwerdeführer geltend gemachte Desertion fällt somit unter die genannte Amnestie, weshalb sich die von ihm geäusserte Be-fürchtung, in Zukunft von den serbischen Behörden in diesem Zusam-menhang verfolgt zu werden, als offensichtlich unbegründet erweisen.</w:t>
      </w:r>
    </w:p>
    <w:p>
      <w:r>
        <w:rPr>
          <w:b/>
        </w:rPr>
        <w:t>E. 4.3.3</w:t>
      </w:r>
    </w:p>
    <w:p>
      <w:r>
        <w:t>Es liegen somit keine konkreten Hinweise vor, dass der Beschwerdeführer im Falle einer Rückkehr nach Kosovo dort wegen sei-ner Desertion von den kosovarischen oder den serbischen Behörden verfolgt würde.</w:t>
      </w:r>
    </w:p>
    <w:p>
      <w:r>
        <w:rPr>
          <w:b/>
        </w:rPr>
        <w:t>E. 4.4</w:t>
      </w:r>
    </w:p>
    <w:p>
      <w:r>
        <w:t>Wie vorstehend dargelegt, vermögen die Vorbringen des Beschwerdeführers den Anforderungen an die Asylrelevanz gemäss Art. 3 AsylG nicht zu genügen, weshalb sich Ausführungen im Zu-sammenhang mit der Glaubhaftigkeit seiner Aussagen erübrigen. Un-ter diesen Umständen kann darauf verzichtet werden, auf die von der Vorinstanz festgestellten Unglaubhaftigkeitselemente einzugehen. Ebenfalls erübrigen sich Ausführungen zu den weiteren Vorbringen auf Beschwerdeebene, weil sie am Ergebnis nichts zu ändern vermögen.</w:t>
      </w:r>
    </w:p>
    <w:p>
      <w:r>
        <w:rPr>
          <w:b/>
        </w:rPr>
        <w:t>E. 4.5</w:t>
      </w:r>
    </w:p>
    <w:p>
      <w:r>
        <w:t>Zusammenfassend folgt, dass der Beschwerdeführer keine asylrelevante Verfolgung nachweisen oder glaubhaft machen konnte. Die Vorinstanz hat sein Asylgesuch demnach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In Kosovo gibt es nach wie vor eine recht starke internationale zi-vile und militärische Präsenz, welche die gegenüber vor wenigen Jah-ren deutlich verbesserte Sicherheitslage stabilisiert. Das Bundesver-waltungsgericht erachtet deshalb den Vollzug der Wegweisung auch von Minderheiten nach Kosovo als in der Regel zumutbar, sofern aufgrund einer Einzelfallabklärung bestimmte Reintegrationskriterien (na-mentlich berufliche Ausbildung, Gesundheitszustand, Alter, ausrei-chende wirtschaftliche Lebensgrundlage und Beziehungsnetz in Koso-vo) als gegeben erachtet werden können (vgl. dazu BVGE 2007/10, mit weiteren Hinweisen).</w:t>
      </w:r>
    </w:p>
    <w:p>
      <w:r>
        <w:rPr>
          <w:b/>
        </w:rPr>
        <w:t>E. 6.6</w:t>
      </w:r>
    </w:p>
    <w:p>
      <w:r>
        <w:t>Der Beschwerdeführer gehört der Minderheit der slawischen Mus-lime und innerhalb dieser der Untergruppe der Bosniaken an. Was die allgemeine Lage der slawischen Muslime betrifft, so wurde ihnen im Vergleich zu den Angehörigen der Ethnien der Roma, Ashkali und "Ägypter" sowie den Kosovo-Serben schon immer eine höhere Tole-ranz entgegengebracht. Im Zusammenhang mit der Beurteilung der Vollziehbarkeit einer Wegweisung äusserte sich die ARK schon in EMARK 2002 Nr. 22 zur Situation der slawischen Muslime (Bosnia-ken) in Kosovo. Die dort vorgenommene Einschätzung, wonach ein Vollzug der Wegweisung der Angehörigen dieser Ethnie in die Bezirke Dragash, Prizren, Gjakovë oder Pejë zumutbar sei, wenn diese Perso-nen in diesen Gebieten ihren letzten Wohnsitz hatten, trifft auch aus heutiger Sicht zu. Darüber hinaus ist aufgrund der verbesserten Lage davon auszugehen, dass im heutigen Zeitpunkt ein Vollzug der Weg-weisung für slawische Muslime fast in das gesamte Staatsgebiet Koso-vos (ausser in den Bezirk Mitrovica) zumutbar ist, sofern bestimmte Kriterien (vgl. vorstehend Erwägung 6.5) individuell überprüft wurden. Insgesamt ist festzuhalten, dass sich die Situation, welche dem vorerwähnten EMARK-Entscheid zugrunde lag, noch verbessert hat und sich insbesondere im Vergleich zu anderen Minderheiten in Koso-vo als sicherer erweist. Der Beschwerdeführer ist in C._____ (Bezirk Prizren) geboren und aufgewachsen (vgl. A1/9 S. 1). Er hat nie geltend gemacht, wegen seiner Zugehörigkeit zur bosniakischen Min-derheit in Kosovo diskriminiert oder behelligt worden zu sein. Demnach erweist sich der Vollzug der Wegweisung des Beschwerdeführers aufgrund der allgemeinen Lage grundsätzlich als zumutbar.</w:t>
      </w:r>
    </w:p>
    <w:p>
      <w:r>
        <w:rPr>
          <w:b/>
        </w:rPr>
        <w:t>E. 6.7</w:t>
      </w:r>
    </w:p>
    <w:p>
      <w:r>
        <w:t>Die Bewegungsfreiheit der slawischen Muslime ist laut den dem Gericht zur Verfügung stehenden Quellen in der vorliegend interessie-renden Region gewährleistet, ebenso der Zugang zu Schulen und medizinischen Versorgungseinrichtungen. Nach wie vor ist zwar die wirtschaftliche Situation und die Arbeitsmarktlage für die Angehörigen aller Ethnien als schwierig zu bezeichnen, aber ausschliesslich soziale und wirtschaftliche Schwierigkeiten, wie der Mangel an Wohnungen und Arbeitsplätzen, von welchen die lokale Bevölkerung im Allgemei-nen betroffen ist, stellen keine Situation dar, welche den Wegwei-sungsvollzug als unzumutbar erscheinen liesse (vgl. EMARK 1994 Nr. 19 E.6 b).</w:t>
      </w:r>
    </w:p>
    <w:p>
      <w:r>
        <w:rPr>
          <w:b/>
        </w:rPr>
        <w:t>E. 6.8</w:t>
      </w:r>
    </w:p>
    <w:p>
      <w:r>
        <w:t>In den Akten finden sich schliesslich auch keine konkreten An-haltspunkte dafür, der Beschwerdeführer würde aus individuellen Grün-den wirtschaftlicher, sozialer oder gesundheitlicher Natur in eine existenzbedrohende Situation geraten. Er hat während acht Jahren die Schule besucht und danach bis zu seiner Ausreise im Jahre 2005 im Baugewerbe gearbeitet (vgl. A7/11 S. 3). In der Schweiz war er von (...) 2009 bis zu seiner unfallbedingten Arbeitsunfähigkeit im (...) 2009 als (...) tätig. Neben seiner Frau und den drei gemeinsamen Kindern leben auch die Eltern und drei Geschwister in Kosovo im Bezirk Prizren (vgl. A1/9 S. 2 f.). Er kann demnach in seinem Heimatstaat nicht nur auf eigene Verwandte zurückgreifen, sondern auch auf die Familie seiner Ehefrau, welche seinen Angaben zufolge in guten finanziellen Verhältnissen lebt (vgl. A7/11 S.2). Zudem kann er wohl auch auf die Hilfe seiner Nachbarn zählen, da diese seine Frau und die Kinder seit seinem Weggang unterstützt haben (vgl. a.a.O.). Der Beschwerdeführer verfügt somit in seiner Herkunftsregion über ein ausreichendes soziales Beziehungsnetz und mit dem Haus der Familie über eine Wohnmöglichkeit. Was seine wirtschaftliche Si-tuation betrifft, ist davon auszugehen, dass er nach der Rückkehr von seinen Eltern, seinen Geschwistern und der Familie seiner Frau Unter-stützung erhalten und daher nicht in eine existenzgefährdende Situa-tion geraten wird.</w:t>
      </w:r>
    </w:p>
    <w:p>
      <w:r>
        <w:rPr>
          <w:b/>
        </w:rPr>
        <w:t>E. 6.9</w:t>
      </w:r>
    </w:p>
    <w:p>
      <w:r>
        <w:t>Insgesamt erweist sich der Vollzug der Wegweisung des Beschwerdeführers somit auch als zumutbar im Sinne von Art. 83 Abs. 4 AuG.</w:t>
      </w:r>
    </w:p>
    <w:p>
      <w:r>
        <w:rPr>
          <w:b/>
        </w:rPr>
        <w:t>E. 6.10</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Die durch die Vorinstanz verfügte Wegweisung ist demnach zu bestä-tigen. Das BFM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in der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