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E-2503/2021 vom 4. Juni 2021</w:t>
      </w:r>
    </w:p>
    <w:p>
      <w:r>
        <w:t>Bundesverwaltungsgericht, 2021-06-04, DE</w:t>
      </w:r>
    </w:p>
    <w:p>
      <w:r>
        <w:rPr>
          <w:b/>
        </w:rPr>
        <w:t xml:space="preserve">Quelle: </w:t>
      </w:r>
      <w:r>
        <w:t>https://mcp.opencaselaw.ch/entscheid/bvger_E-2503_2021</w:t>
      </w:r>
    </w:p>
    <w:p>
      <w:r>
        <w:t>FR: TAF E-2503/2021 du 4 juin 2021</w:t>
      </w:r>
    </w:p>
    <w:p>
      <w:r>
        <w:t>IT: TAF E-2503/2021 del 4 giugno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Der vorliegenden Beschwerde kommt von Gesetzes wegen aufschiebende Wirkung zu (Art. 55 Abs. 1 VwVG). Auf das Gesuch um Erteilung der aufschiebenden Wirkung wird daher mangels Rechtsschutzinteresses nicht weiter eingegangen.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wird eine formelle Rüge erhoben, welche vorab zu beurteilen ist, da diese bei berechtigtem Vorbringen zur Kassation der angefochtenen Verfügung führen kann. Der Beschwerdeführer rügt eine Verletzung des Anspruchs auf rechtliches Gehör gemäss Art. 29 VwVG, indem die angefochtene Verfügung unvollständig, das heisst, ohne Seite 2 eröffnet worden sei. Diesbezüglich kann ihm nicht gefolgt werden. Die Verfügung beinhaltet zu Beginn eine unpaginierte Seite mit der Adresse der Bündner Beratungsstelle für Asylsuchende, es folgt eine weitere unpaginierte Seite mit der Adresse des Beschwerdeführers, wiederum gefolgt von einer Seite mit der Begründung des SEM, betitelt mit «I», welche als Seite 3 paginiert ist. Dass das SEM der Beratungsstelle, respektive dem Beschwerdeführer, diejenige Seite mit dem jeweils anderen Adressaten nicht zustellt, scheint gängige Praxis zu sein und es wird auch in der als Beilage Nr. 4 eingereichten E-Mail vom 25. Mai 2021 bestätigt, dass der eigentliche Asylentscheid auf Seite 3 beginne. Die Verfügung wurde somit inhaltlich vollständig und korrekt eröffnet. Die Rüge ist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Heimat- oder Herkunftsstaaten, in denen nach seinen Feststellungen Sicherheit vor Verfolgung herrscht.</w:t>
      </w:r>
    </w:p>
    <w:p>
      <w:r>
        <w:rPr>
          <w:b/>
        </w:rPr>
        <w:t>E. 7.2</w:t>
      </w:r>
    </w:p>
    <w:p>
      <w:r>
        <w:t>Die Vorbringen des Beschwerdeführers befand die Vorinstanz als nicht asylrelevant. Bei den von der Familie der ehemaligen Freundin ausgesprochenen Drohungen habe es sich um Drohungen aus Rache und nicht aus einem flüchtlingsrechtlich relevanten Motiv gehandelt, welche zudem klarerweise von Drittpersonen ausgegangen seien. Gegenüber der Vorinstanz habe der Beschwerdeführer die Befürchtung geäussert, dass die Familie der damaligen Freundin den Kanun (das Gewohnheitsrecht) und somit Selbstjustiz ausüben würde. Der Beschwerdeführer habe indes keinerlei Angaben zu den befürchteten Folgen des Kanuns machen können. Ein Kanun folge bestimmten Regeln, namentlich würden Vermittlungsversuche unternommen werden. Der Beschwerdeführer habe jedoch gegenüber der Vorinstanz ausgesagt, dass es solche Vermittlungsversuche gar nicht gegeben habe. Folglich sei das Vorliegen eines Kanuns zu verneinen. Im Weiteren sei es nicht nachvollziehbar, warum der Beschwerdeführer nach den Drohungen im Jahr (...) nicht Anzeige erstattet und um Schutz der Polizei nachgesucht habe. Nach den Bedrohungen über den Facebook-Chat im Jahr (...) habe es der Beschwerdeführer ebenfalls unterlassen, Massnahmen zu ergreifen, um die Personen, die ihn bedroht hätten, zur Rechenschaft zu ziehen. Die Vorinstanz hielt des Weiteren fest, dass im eingereichten Chat-Protokoll zwar die körperliche Behinderung des Beschwerdeführers angesprochen worden sei, die Bedrohung sich aber insgesamt primär klar darauf beziehe, dass der Beschwerdeführer seine damalige Freundin gegen den Willen ihrer Familie habe bei ihm einziehen lassen.</w:t>
      </w:r>
    </w:p>
    <w:p>
      <w:r>
        <w:rPr>
          <w:b/>
        </w:rPr>
        <w:t>E. 8</w:t>
      </w:r>
    </w:p>
    <w:p>
      <w:r>
        <w:t>Der Beschwerdeführer bringt vor, dass es sich bei den Drohungen der Familie der ehemaligen Freundin um die Anwendung des Kanuns gehandelt habe. Die Erwägungen der Vorinstanz seien unzutreffend und würden sich lediglich auf Vermutungen stützen. Alleine aus dem Umstand, dass es keinen Schlichtungsversuch gegeben habe, könne nicht abgeleitet werden, dass der Kanun nicht angewendet worden sei. Zudem habe er bei einem Arbeitsunfall (...) verloren und sei in seinem Heimatstaat zahlreichen Diskriminierungen ausgesetzt. Behinderte Menschen seien im Kosovo nicht anerkannt. Im Weiteren sei der Beschwerdeführer homosexuell und habe (...) psychische Probleme. Sodann führt er aus, dass er durch die Sippe seiner ehemaligen Freundin verfolgt werde. Die Verfolgung knüpfe an die Zugehörigkeit zu einer bestimmten sozialen Gruppe an. Da die Familie der ehemaligen Freundin den Kanun gegen ihn und seine Familie anwende, drohe ihm Gefahr. Selbst wenn der Kosovo als sicherer Staat eingestuft werde, der Rechtshilfe gewähre, sei bekannt, dass Familienfehden abseits der staatlichen Organe ausgetragen würden. Im Übrigen sei die Flüchtlingseigenschaft zu bejahen, da der Beschwerdeführer unter unerträglichem, psychischem Druck leide und dadurch ein menschenunwürdiges Leben in seinem Heimatstaat haben würde.</w:t>
      </w:r>
    </w:p>
    <w:p>
      <w:r>
        <w:rPr>
          <w:b/>
        </w:rPr>
        <w:t>E. 9.1</w:t>
      </w:r>
    </w:p>
    <w:p>
      <w:r>
        <w:t>Die Vorinstanz ist in ihren Erwägungen zur zutreffenden Erkenntnis gelangt, die vom Beschwerdeführer geltend gemachten Verfolgungsvorbringen würden den Anforderungen an die Asylrelevanz nicht genügen. Auf die Erwägungen der Vorinstanz und auf die Zusammenfassung unter E. 7.2. kann zur Vermeidung von Wiederholungen verwiesen werden. Sie sind in keinem Punkt zu beanstanden.</w:t>
      </w:r>
    </w:p>
    <w:p>
      <w:r>
        <w:rPr>
          <w:b/>
        </w:rPr>
        <w:t>E. 9.2</w:t>
      </w:r>
    </w:p>
    <w:p>
      <w:r>
        <w:t>Insbesondere hat die Vorinstanz in ihrer Verfügung zu Recht darauf hingewiesen, dass der Kosovo durch den Bundesrat als verfolgungssicherer Staat ("Safe Country") gemäss Art. 6a Abs. 2 Bst. a AsylG bezeichnet wurde. Im Rahmen der periodischen Überprüfung (vgl. Art. 6a Abs. 3 AsylG) ist die Schweizer Regierung darauf bisher nicht zurückgekommen. Die Bezeichnung eines Landes als "Safe Country" beinhaltet die Regelvermutung, dass asylrelevante staatliche Verfolgung nicht stattfindet und Schutz vor nichtstaatlicher Verfolgung gewährleistet ist. Hierbei handelt es sich um eine relative Verfolgungssicherheit, welche im Einzelfall auf Grund konkreter und substantiierter Hinweise umgestossen werden kann. Solche Hinweise gegen diese Regelvermutung konnte der Beschwerdeführer offensichtlich nicht darlegen. Aus seinen Darstellungen geht vielmehr hervor, dass er sich bezüglich der behaupteten Diskriminierungen nicht an die kosovarischen Behörden gewandt und um Schutz ersucht hat (vgl. Anhörung nach Art. 29 AsylG, F72).</w:t>
      </w:r>
    </w:p>
    <w:p>
      <w:r>
        <w:rPr>
          <w:b/>
        </w:rPr>
        <w:t>E. 9.3</w:t>
      </w:r>
    </w:p>
    <w:p>
      <w:r>
        <w:t>In der Beschwerdeschrift wird erstmalig geltend gemacht, der Beschwerdeführer sei homosexuell und dadurch im Heimatstaat Diskriminierungen unterworfen. Dies widerspricht den grundlegenden Vorbringen des Beschwerdeführers hinsichtlich seiner Ex-Freundin. Der Beschwerdeführer führte aus, er werde von der Familie der Ex-Freundin verfolgt, weil diese im Jahr (...) bei ihm eingezogen sei und sie dadurch laut Tradition Mann und Frau seien (vgl. Anhörung nach Art. 29 AsylG, F57). In derselben Anhörung gab er zu Protokoll, dass er momentan eine Freundin habe, die in der Schweiz lebe (vgl. F36). Die erstmalige Geltendmachung von homosexuellen Neigungen in der Beschwerdeschrift erscheint demzufolge als nachgeschoben und unglaubhaft.</w:t>
      </w:r>
    </w:p>
    <w:p>
      <w:r>
        <w:rPr>
          <w:b/>
        </w:rPr>
        <w:t>E. 9.4</w:t>
      </w:r>
    </w:p>
    <w:p>
      <w:r>
        <w:t>Ein unerträglicher psychischer Druck im Sinne von Art. 3 Abs. 2 AsylG ist sodann zu bejahen, wenn einzelne Personen oder Teile einer Bevölkerung systematisch schweren oder wiederholten Eingriffen in ihre Menschenrechte durch den Staat ausgesetzt sind (oder dieser keinen adäquaten Schutz vor Übergriffen Dritter zu gewähren imstande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erfolgen muss. Vorliegend, entgegen der blossen Behauptung des Beschwerdeführers, ist schon deshalb kein unerträglicher psychischer Druck anzunehmen, weil es bei der geltend gemachten Bedrohungslage - wie vom SEM richtig festgestellt - am Motiv im Sinne von Art. 3 Abs. 1 AsylG fehlt. Es kann an dieser Stelle darauf verzichtet werden, auf die Beschwerdevorbringen noch näher einzugehen, da sie offensichtlich nicht geeignet sind, die Richtigkeit der Erwägungen des SEM in Frage zu stellen.</w:t>
      </w:r>
    </w:p>
    <w:p>
      <w:r>
        <w:rPr>
          <w:b/>
        </w:rPr>
        <w:t>E. 9.5</w:t>
      </w:r>
    </w:p>
    <w:p>
      <w:r>
        <w:t>Zusammenfassend hat der Beschwerdeführer nichts vorgebracht, was geeignet wäre, seine Flüchtlingseigenschaft nachzuweisen oder zumindest glaubhaft zu machen. Die Vorinstanz hat das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Bei allfälligen Behelligungen und Nachstellungen durch Drittpersonen kann er sich sodann an die Behörden wenden.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Die allgemeine Lage im Kosovo ist weder von Bürgerkrieg noch von allgemeiner Gewalt geprägt. Wie bereits erwähnt (E. 9.2), hat der Bundesrat den Kosovo als verfolgungssicheren Staat bezeichnet (vgl. Art. 2 Abs. 2 i.V.m. Anhang 2 der Asylverordnung 1 vom 11. August 1999 [AsylV 1, SR 142.311]). Es besteht daher die Regelvermutung, dass ein Wegweisungsvollzug dorthin grundsätzlich zumutbar ist.</w:t>
      </w:r>
    </w:p>
    <w:p>
      <w:r>
        <w:rPr>
          <w:b/>
        </w:rPr>
        <w:t>E. 11.3.3</w:t>
      </w:r>
    </w:p>
    <w:p>
      <w:r>
        <w:t>Die Vorinstanz führte in der angefochtenen Verfügung zutreffend aus, der Wegweisungsvollzug sei in individueller Hinsicht zumutbar, da der Beschwerdeführer aufgrund seiner familiären Situation davon ausgehen könne, dass der Bruder des Beschwerdeführers ihn bei seiner Rückkehr wieder bei sich aufnehmen und unterstützen werde. Zudem habe er Verwandte und Bekannte in der Schweiz, welche ihn in finanzieller Hinsicht ebenfalls unterstützen könnten. Was die Vorbringen des Beschwerdeführers hinsichtlich der Diskriminierung aufgrund seiner (...) betrifft, kann vollumfänglich auf die angefochtene Verfügung verwiesen werden (siehe dort E. III Ziff. 2). Die Vorinstanz führte weiter aus, dass vorliegend nicht auf eine medizinische Notlage zu schliessen sei und eine hinreichende medizinische und psychiatrische Versorgung im Kosovo grundsätzlich gewährleistet, teilweise sogar für bestimmte Personengruppen, wie Invalide, kostenlos sei. Die Psychiatrischen Dienste (...) stellten im Austrittsbericht vom 27. April 2021 als Hauptdiagnose fest, dass der Beschwerdeführer an (...) leide, (...). Als Nebendiagnose wurde unter anderem (...) festgestellt. Die Behandlung geschehe mittels Therapien und Medikamenten. Hinsichtlich der geltend gemachten und im Austrittsbericht der Psychiatrischen Dienste (...) bestätigten psychischen Störungen kann unter Verweis auf die Ausführung des SEM ebenfalls nicht auf eine konkrete Gefährdung in Form einer medizinischen Notlage nach dem Verständnis von Art. 83 Abs. 4 AIG geschlossen werden. Für eine Weiterbehandlung nach erfolgtem Wegweisungsvollzug ist ferner auf die Möglichkeit einer individuellen medizinischen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Es kann bei dieser Sachlage auf das auf das Einholen eines medizinischen Gutachtens verzichtet werden.</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