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E-2503/2020 vom 7. Juli 2020</w:t>
      </w:r>
    </w:p>
    <w:p>
      <w:r>
        <w:t>Bundesverwaltungsgericht, 2020-07-07, DE</w:t>
      </w:r>
    </w:p>
    <w:p>
      <w:r>
        <w:rPr>
          <w:b/>
        </w:rPr>
        <w:t xml:space="preserve">Quelle: </w:t>
      </w:r>
      <w:r>
        <w:t>https://mcp.opencaselaw.ch/entscheid/bvger_E-2503_2020</w:t>
      </w:r>
    </w:p>
    <w:p>
      <w:r>
        <w:t>FR: TAF E-2503/2020 du 7 juillet 2020</w:t>
      </w:r>
    </w:p>
    <w:p>
      <w:r>
        <w:t>IT: TAF E-2503/2020 del 7 luglio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Art. 6 AsylG).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um eine solche.</w:t>
      </w:r>
    </w:p>
    <w:p>
      <w:r>
        <w:rPr>
          <w:b/>
        </w:rPr>
        <w:t>E. 1.6</w:t>
      </w:r>
    </w:p>
    <w:p>
      <w:r>
        <w:t>Gestützt auf Art. 111a Abs. 1 AsylG wurde auf die Durchführung eines Schriftenwechsels verzichtet.</w:t>
      </w:r>
    </w:p>
    <w:p>
      <w:r>
        <w:rPr>
          <w:b/>
        </w:rPr>
        <w:t>E. 1.7</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Bei der Beurteilung der Glaubhaftigkeit wird eine Gesamtbeurteilung aller Elemente (Übereinstimmung bezüglich des wesentlichen Sachverhaltes, Substanziiertheit und Plausibilität der Angaben, persönliche Glaubwürdigkeit usw.), die für oder gegen die gesuchstellende Person sprechen, vorgenommen. 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Unglaubhaft wird eine Schilderung von Erlebnissen insbesondere bei wechselnden, widersprüchlichen, gesteigerten oder nachgeschobenen Vorbringen. (vgl. BVGE 2015/3 E. 6.5.1; 2013/11 E. 5.1; 2012/5 E. 2.2; 2010/57 E. 2.3).</w:t>
      </w:r>
    </w:p>
    <w:p>
      <w:r>
        <w:rPr>
          <w:b/>
        </w:rPr>
        <w:t>E. 2.3</w:t>
      </w:r>
    </w:p>
    <w:p>
      <w:r>
        <w:t>Wer sich darauf beruft, dass durch sein Verhalten nach der Ausreise aus dem Heimat- oder Herkunftsstaat - etwa durch ein illegales Verlassen des Landes - eine Gefährdungssituation erst oder zusätzlich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w:t>
      </w:r>
    </w:p>
    <w:p>
      <w:r>
        <w:t>Das SEM hat in der angefochtenen Verfügung ausführlich und mit zutreffender Begründung dargelegt, weshalb die Asylvorbringen des Beschwerdeführers den Anforderungen an die Glaubhaftmachung und an die Asylrelevanz nicht genügen.</w:t>
      </w:r>
    </w:p>
    <w:p>
      <w:r>
        <w:rPr>
          <w:b/>
        </w:rPr>
        <w:t>E. 3.1</w:t>
      </w:r>
    </w:p>
    <w:p>
      <w:r>
        <w:t>Vorweg ist festzuhalten, dass das SEM in seiner Verfügung vom 9. April 2020 korrekt dargelegt hat, weshalb der Sachverhaltsvortrag des Beschwerdeführers, namentlich die geltend gemachten Behelligungen im Zusammenhang mit seinem angeblichen Engagement zugunsten der LTTE respektive mit den LTTE-Verbindungen seines Schwagers, den Anforderungen an die Flüchtlingseigenschaft im Sinne von Art. 3 AsylG beziehungsweise Glaubhaftmachung im Sinne von Art. 7 AsylG nicht standhält. Das SEM hat insbesondere zutreffend darauf hingewiesen, dass der Beschwerdeführer anlässlich seiner Befragung zur Person (BzP) vom 27. Januar 2016 nach der Art seiner Tätigkeit zugunsten der LTTE befragt wurde und er hierzu explizit angab, er habe im Vanni-Gebiet als Fahrer für diese Organisation gearbeitet und für diese Lebensmitteltransporte durchgeführt; ansonsten habe er nichts gemacht für die Organisation (vgl. Akte A3, Ziffer 7.01 am Ende). Demgegenüber trug er bei der Anhörung vom 3. Juli 2018 diesbezüglich vor, er habe nebst Nahrungsmitteltransporten auch Waffen respektive Kriegsmaterial und Sprengstoff für die LTTE transportiert (vgl. A17, Antworten 34-37 und 49), wobei er ausdrücklich zu Protokoll gab, er sei kein Mitglied der LTTE gewesen (vgl. A17, Antworten 39 und 70). Diese Ungereimtheiten innerhalb des Kernvorbringens des Beschwerdeführers zur Art seiner Unterstützung respektive seiner Tätigkeiten zugunsten der LTTE lassen bereits erhebliche Zweifel an deren Wahrheitsgehalt aufkommen. Der Umstand, dass der Beschwerdeführer in seiner Rechtsmitteleingabe neu vortragen liess, er sei effektiv Mitglied der LTTE gewesen, ohne einer Kampfgruppe angehört zu haben (vgl. S. 5), bekräftigt diese Zweifel zusätzlich. Entgegen den Ausführungen in der Beschwerde (vgl. S. 5 unten) liegt kein falsche Erfassung des Sachverhalts durch das SEM vor. Vielmehr hat sich der Beschwerdeführer bezüglich des Ausmasses seines Engagements für die LTTE in massgeblicher Weise widersprochen.</w:t>
      </w:r>
    </w:p>
    <w:p>
      <w:r>
        <w:rPr>
          <w:b/>
        </w:rPr>
        <w:t>E. 3.2</w:t>
      </w:r>
    </w:p>
    <w:p>
      <w:r>
        <w:t>Hinzu kommt, dass der Beschwerdeführer weiter vortrug, er sei insgesamt zweimal - im Mai 2010 und im Juli 2015 - von den Behörden festgenommen und dabei einen Tag respektive eine Nacht lang festgehalten worden. Hätten die sri-lankischen Behörden den Beschwerdeführer tatsächlich konkret verdächtigt, den LTTE anzugehören und für diese Kriegsmaterial, Sprengstoff oder Waffen transportiert zu haben, hätten es diese mit an Sicherheit grenzender Wahrscheinlichkeit nicht mit einer kurzweiligen Festnahme des Beschwerdeführers bewenden lassen, sondern wegen Unterstützung respektive Förderung des tamilischen Separatismus gegen ihn ein strafrechtliches Ermittlungsverfahren eröffnet. Wie bereits in der Zwischenverfügung vom 10. Juni 2020 ausgeführt, spricht der Umstand, dass der Beschwerdeführer bereits nach kurzer Zeit von den sri-lankischen Behörden wieder auf freien Fuss gesetzt worden sein soll, gegen die von ihm behauptete Verfolgungssituation im Zusammenhang mit einem angeblichen LTTE-Verdacht. Hierzu kann vollumfänglich auf die zutreffenden vorinstanzlichen Erwägungen (Ziffer I/1, Seite 4) verwiesen werden. In diesem Zusammenhang ist weiter festzuhalten, dass es den heimatlichen Sicherheitskräften gelungen wäre, den Beschwerdeführer am Arbeitsort festzunehmen, wenn sie ihn im behaupteten Umfang und Ausmass tatsächlich wegen der Unterstützung einer missliebigen politischen Gruppierung verdächtigt und verfolgt hätten.</w:t>
      </w:r>
    </w:p>
    <w:p>
      <w:r>
        <w:rPr>
          <w:b/>
        </w:rPr>
        <w:t>E. 3.3</w:t>
      </w:r>
    </w:p>
    <w:p>
      <w:r>
        <w:t>Im Weiteren muss festgestellt werden, dass die Schilderungen des Beschwerdeführers zu den angeblich erlittenen kurzen Festnahmen äusserst vage ausgefallen sind. Diesbezüglich kann ebenfalls auf die entsprechenden Erwägungen des SEM (Ziffer II/1, Seite 4 und 5) verwiesen werden.</w:t>
      </w:r>
    </w:p>
    <w:p>
      <w:r>
        <w:rPr>
          <w:b/>
        </w:rPr>
        <w:t>E. 3.4</w:t>
      </w:r>
    </w:p>
    <w:p>
      <w:r>
        <w:t>Auch das vom Beschwerdeführer geschilderte Strafverfolgungsverhalten der Behörden, ihn bloss kurzweilig festzuhalten und ihn wieder freizulassen, um ihn später erneut zu suchen (vgl. A17, Antwort 67), macht keinen Sinn und muss daher als unrealistisch und unglaubhaft eingeschätzt werden.</w:t>
      </w:r>
    </w:p>
    <w:p>
      <w:r>
        <w:rPr>
          <w:b/>
        </w:rPr>
        <w:t>E. 3.5</w:t>
      </w:r>
    </w:p>
    <w:p>
      <w:r>
        <w:t>Dem Beschwerdeführer ist es auch nicht gelungen, eine von seinem Schwager abgeleitete Reflexverfolgung als überwiegend wahrscheinlich darzulegen. Wenn die sri-lankischen Sicherheitskräfte im Zusammenhang mit der angeblichen LTTE-Zugehörigkeit des Schwagers ein Verfolgungsinteresse am Beschwerdeführer gehabt hätten, hätten sie es nicht mit kurzzeitigen Festnahmen bewenden lassen, sondern hätten mit überwiegender Wahrscheinlichkeit weitere strafrechtliche Konsequenzen respektive Ermittlungsmassnahmen gegen ihn eingeleitet.</w:t>
      </w:r>
    </w:p>
    <w:p>
      <w:r>
        <w:rPr>
          <w:b/>
        </w:rPr>
        <w:t>E. 3.6</w:t>
      </w:r>
    </w:p>
    <w:p>
      <w:r>
        <w:t>Der Beschwerdeführer hat weiter vorgetragen, dass er mehrere Auslandreisen (nach Thailand respektive Malaysia) unternommen habe und jeweils legal, unter Verwendung seines eigenen Reisepasses, in diese Länder gelangt sei. Angesichts der vom Beschwerdeführer geschilderten mehrfachen Besuche durch Militärpersonen bleibt diesbezüglich unrealistisch und nicht nachvollziehbar, dass ihm diese Auslandreisen gelungen sein sollen, ohne bei den jeweiligen Grenzkontrollen ins Visier der sri-lankischen Ein- und Ausreisebehörden geraten zu sein, Die Rückkehr nach Sri Lanka nach diesen beiden längeren Auslandaufenthalten in Malaysia und Thailand und der zwischen diesen Auslandreisen erfolgte Aufenthalt in Sri Lanka sprechen zusätzlich gegen die von ihm behauptete Verfolgungssituation.</w:t>
      </w:r>
    </w:p>
    <w:p>
      <w:r>
        <w:rPr>
          <w:b/>
        </w:rPr>
        <w:t>E. 3.7</w:t>
      </w:r>
    </w:p>
    <w:p>
      <w:r>
        <w:t>Die im vorinstanzlichen Verfahren eingereichten Beweismittel aus dem Ausland (vgl. A17, Beweismittelcouvert: «Beweismittel 1») betreffen lediglich den Schwager und beinhalten keine Informationen zur Situation des Beschwerdeführers. Sie sind deshalb nicht geeignet, die behauptete, eigene Verfolgungssituation im Zusammenhang mit einem behördlichen LTTE-Verdacht zu stützen.</w:t>
      </w:r>
    </w:p>
    <w:p>
      <w:r>
        <w:rPr>
          <w:b/>
        </w:rPr>
        <w:t>E. 3.8</w:t>
      </w:r>
    </w:p>
    <w:p>
      <w:r>
        <w:t>Auch die auf Beschwerdeebene eingereichten Farbfotos vermögen an der vorinstanzlichen Einschätzung nichts zu ändern, nachdem die genannten Beweismittel keine Angaben zur Person des Beschwerdeführers enthalten und ihnen kein asylbeachtlicher Hintergrund zugeordnet werden kann.</w:t>
      </w:r>
    </w:p>
    <w:p>
      <w:r>
        <w:rPr>
          <w:b/>
        </w:rPr>
        <w:t>E. 4</w:t>
      </w:r>
    </w:p>
    <w:p>
      <w:r>
        <w:t>Das SEM hat insgesamt zutreffend festgestellt, dass es dem Beschwerdeführer nicht gelungen ist, glaubhaft darzulegen, dass er im Zeitpunkt seiner Ausreise im November 2015 in asylbeachtlicher Weise gefährdet war. Die Ausführungen in der Beschwerde sind nicht geeignet, die vorinstanzlichen Erwägungen in einem anderen Lichte betrachten zu lassen.</w:t>
      </w:r>
    </w:p>
    <w:p>
      <w:r>
        <w:rPr>
          <w:b/>
        </w:rPr>
        <w:t>E. 4.1</w:t>
      </w:r>
    </w:p>
    <w:p>
      <w:r>
        <w:t>Soweit vorgetragen wird, die BzP sei mit 90 Minuten äusserst kurz ausgefallen und er sei dort zur Eile gedrängt worden respektive die Angaben des Beschwerdeführers seien durch den Dolmetscher falsch erfasst worden, finden diese Rügen in den Protokollen keinerlei Stütze. Er hat sowohl bei der BzP als auch bei der Anhörung zu Protokoll gegeben, dass er den Dolmetscher gut verstanden habe und dass die protokollierten Aussagen seine Angaben entsprechen würden (vgl. A3, Einleitung Bst. h und Seite 9 sowie A17, Antwort 1 und Seite 13). In der BzP wurden ihm zudem etliche Nachfragen zu seinen Vorbringen gestellt. Es besteht daher keinerlei Veranlassung, die Protokolle nicht oder nur eingeschränkt für die Beurteilung des vorliegenden Asylverfahrens heranzuziehen.</w:t>
      </w:r>
    </w:p>
    <w:p>
      <w:r>
        <w:rPr>
          <w:b/>
        </w:rPr>
        <w:t>E. 4.2</w:t>
      </w:r>
    </w:p>
    <w:p>
      <w:r>
        <w:t>Die aktuelle Lage in Sri Lanka ist nach den Terroranschlägen im April 2019 zwar als volatil zu beurteilen, es kann jedoch - entgegen den Ausführungen in der Beschwerde (vgl. Seite 8) - aufgrund dessen nicht auf eine generell erhöhte Gefährdung von zurückkehrenden tamilischen Staatsangehörigen geschlossen werden.</w:t>
      </w:r>
    </w:p>
    <w:p>
      <w:r>
        <w:rPr>
          <w:b/>
        </w:rPr>
        <w:t>E. 4.3</w:t>
      </w:r>
    </w:p>
    <w:p>
      <w:r>
        <w:t>Auch der Amtsantritt von Gotabaya Rajapaksa als Staatspräsident und die Ernennung seines Bruders als Premierminister ändert nichts an der Gesamteinschätzung. Das Bundesverwaltungsgericht ist sich der Veränderungen in Sri Lanka bewusst, beobachtet die Entwicklungen aufmerksam und berücksichtigt diese bei seiner Entscheidfindung. Beim derzeitigen Kenntnisstand ist zwar durchaus von einer möglichen Akzentuierung der Gefährdungslage auszugehen, welcher Personen mit einem bestimmten Risikoprofil ausgesetzt sind beziehungsweise bereits vorher ausgesetzt waren (vgl. Referenzurteil des Bundesverwaltungsgerichts E-1866/2015 vom 15. Juli 2016, HRW, Sri Lanka: Families of "Disappeared" Threatened, 16.02.2020), es gibt jedoch zum heutigen Zeitpunkt keinen Grund zur Annahme, dass seit dem Machtwechsel in Sri Lanka ganze Bevölkerungsgruppen kollektiv einer Verfolgungsgefahr ausgesetzt wären. Das Gericht prüft in jedem Einzelfall, ob ein persönlicher Bezug der asylsuchenden Personen zur Präsidentschaftswahl vom 16. November 2019 respektive deren Folgen besteht. Ein solcher konkreter Bezug ist im Fall des Beschwerdeführers nicht ersichtlich, da die von ihm behaupteten Risikofaktoren für eine asylbeachtliche Gefährdungslage nicht vorliegen. Die vom Beschwerdeführer geschilderte Verletzung respektive Narbe (...) lässt nicht zwingend auf einen asylbeachtlichen Hintergrund schliessen und kann völlig anderweitige Ursachen haben. Auch der Hinweis auf die angebliche Fortsetzung der exilpolitische Aktivitäten des Beschwerdeführers in der Schweiz (vgl. Beschwerde S. 7 und 8 f.) bleibt völlig unsubstanziiert und wird durch keinerlei Beweisunterlagen untermauert. Die Zugehörigkeit zur tamilischen Ethnie genügt für sich alleine nicht, um ein Gefährdungspotential flüchtlingsrechtlich relevanten Ausmasses darzutun.</w:t>
      </w:r>
    </w:p>
    <w:p>
      <w:r>
        <w:rPr>
          <w:b/>
        </w:rPr>
        <w:t>E. 4.4</w:t>
      </w:r>
    </w:p>
    <w:p>
      <w:r>
        <w:t>Andere Asylvorbringen hat der Beschwerdeführer nicht vorgetragen. Zusammenfassend ergibt sich, dass es ihm nicht gelungen ist, darzulegen, dass er mit überwiegender Wahrscheinlichkeit asylrelevanten Nachteilen ausgesetzt worden ist oder solche künftig befürchten müsste. Das SEM hat sein Asylgesuch zu Recht und mit zutreffender Begründung abgewiesen.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dere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6.5</w:t>
      </w:r>
    </w:p>
    <w:p>
      <w:r>
        <w:t>Die allgemeine Situation im Heimatstaat des Beschwerdeführers ist nicht von einer landesweiten Situation von Krieg, Bürgerkrieg oder allgemeiner Gewalt geprägt (vgl. Referenzurteil E-1866/2015, a.a.O.). An dieser Einschätzung vermögen auch die am Ostersonntag 2019 erfolgten Anschläge auf Kirchen und Luxushotels oder die Ende 2019 erfolgten Präsidentschaftswahlen nichts zu ändern. Auch in individueller Hinsicht sind keine Gründe ersichtlich, welche eine Wegweisung als unzumutbar erscheinen liessen. So besitzt der Beschwerdeführer eine gute Schulbildung und er verfügt über Berufserfahrung im Heimatland in der Landwirtschaft sowie als (...). Er hat auch mehrere Jahre in (...) in Malaysia gearbeitet (vgl. A3, Ziffer 1.17.04 und A17, Antwort 16 ff.). Seine Familie soll gemäss eigenen Angaben dem Mittelstand angehören (vgl. A17, Antwort 20). Der Beschwerdeführer verfügt in seiner Heimatregion Jaffna über ein tragfähiges familiäres und soziales Beziehungsnetz (Ehefrau, Sohn, Mutter und mehrere Geschwister). Es ist davon auszugehen, dass es ihm zumutbar sein sollte, nach seiner Rückkehr wieder eine Erwerbstätigkeit aufzunehmen und dadurch seine Existenz zu sichern. Auch der Umstand, dass der Beschwerdeführer eine medikamentöse Behandlung und Physiotherapie benötigt, vermag für sich alleine nicht gegen die Zumutbarkeit des Wegweisungsvollzuges zu sprechen. Das Gericht verkennt die schwierige Situation im Norden Sri Lankas nicht. Den Angaben des Beschwerdeführers sind jedoch keine stichhaltigen Hinweise zu entnehmen, die konkret gegen die Zumutbarkeit des Wegweisungsvollzuges sprechen würden.</w:t>
      </w:r>
    </w:p>
    <w:p>
      <w:r>
        <w:rPr>
          <w:b/>
        </w:rPr>
        <w:t>E. 6.6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6.7</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Verfahrenskosten dem Beschwerdeführer aufzuerlegen (Art. 63 Abs. 1 VwVG) und auf insgesamt Fr. 750.- festzusetzen (Art. 1-3 des Reglements vom 21. Februar 2008 über die Kosten und Entschädigungen vor dem Bundesverwaltungsgericht [VGKE, SR 173.320.2]), nachdem mit Zwischenverfügung des Bundesverwaltungsgerichts vom 10. Juni 2020 das Gesuch um Gewährung der unentgeltlichen Prozessführung abgewiesen wurde. Der am 15. Juni 2020 einbezahlte Kostenvorschuss in der Höhe von Fr. 750.- ist zur Bezahlung der Verfahrenskosten in gleicher Höhe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