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E-2500/2017 vom 11. Mai 2017</w:t>
      </w:r>
    </w:p>
    <w:p>
      <w:r>
        <w:t>Bundesverwaltungsgericht, 2017-05-11, DE</w:t>
      </w:r>
    </w:p>
    <w:p>
      <w:r>
        <w:rPr>
          <w:b/>
        </w:rPr>
        <w:t xml:space="preserve">Quelle: </w:t>
      </w:r>
      <w:r>
        <w:t>https://mcp.opencaselaw.ch/entscheid/bvger_E-2500_2017</w:t>
      </w:r>
    </w:p>
    <w:p>
      <w:r>
        <w:t>FR: TAF E-2500/2017 du 11 mai 2017</w:t>
      </w:r>
    </w:p>
    <w:p>
      <w:r>
        <w:t>IT: TAF E-2500/2017 del 11 maggio 2017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gutheissen, soweit die Aufhebung der angefochtenen Verfügung beantragt wird.</w:t>
      </w:r>
    </w:p>
    <w:p>
      <w:r>
        <w:rPr>
          <w:b/>
        </w:rPr>
        <w:t>E. 2</w:t>
      </w:r>
    </w:p>
    <w:p>
      <w:r>
        <w:t>Die Verfügung vom 25. April 2017 wird aufgehoben. Das SEM wird angewiesen, auf das Asylgesuch des Beschwerdeführers einzutreten und dieses zu prüfen.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den Beschwerdeführer, das SEM und die zuständige kantonale Behörde. Die Einzelrichterin: Die Gerichtsschreiberin: Esther Marti Sibylle Dischler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