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E-2498/2009 vom 8. Mai 2009</w:t>
      </w:r>
    </w:p>
    <w:p>
      <w:r>
        <w:t>Bundesverwaltungsgericht, 2009-05-08, FR</w:t>
      </w:r>
    </w:p>
    <w:p>
      <w:r>
        <w:rPr>
          <w:b/>
        </w:rPr>
        <w:t xml:space="preserve">Quelle: </w:t>
      </w:r>
      <w:r>
        <w:t>https://mcp.opencaselaw.ch/entscheid/bvger_E-2498_2009</w:t>
      </w:r>
    </w:p>
    <w:p>
      <w:r>
        <w:t>FR: TAF E-2498/2009 du 8 mai 2009</w:t>
      </w:r>
    </w:p>
    <w:p>
      <w:r>
        <w:t>IT: TAF E-2498/2009 del 8 maggio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A._______ a qualité pour recourir (cf. art. 48 al. 1 PA). Présenté dans la forme (cf. art. 52 PA) et le délai prescrit par la loi, le recours est recevable (cf.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se dit victime, dans son pays, de persécutions contre lesquelles ni les agents du Service de Police du Kosovo (SPK), ni les forces de sécurité internationales qui s'y trouvent seraient en mesure de le protéger. Il voit ainsi dans l'inaptitude de ces autorités à préserver son intégrité physique voire sa vie un motif de persécution au sens de l'art. 3 LAsi. Saisie d'un recours contre une décision de l'ODM rendue en matière d'asile et de renvoi, le Tribunal tient compte de la situation et des éléments de fait tels qu'ils se présentent au moment où il se prononce (cf. sur cette question, Jurisprudence et informations de l'ancienne Commission suisse de recours en matière d'asile [JICRA] 2000 n° 2 consid. 8a p. 20 et réf. jurispr.) Ce faisant, il prend en considération l'évolution intervenue depuis le dépôt de la demande d'asile. Or il s'avère qu'au cours de sa séance du 6 mars 2009, le Conseil fédéral a décidé d'inclure le Kosovo au nombre des Etats qu'il considère comme sûrs, c'est-à-dire libre de persécutions (cf. art. 34 LAsi). Cette décision de l'exécutif fédéral a pris effet au 1er avril suivant. Le respect des droits de l'homme, ainsi que l'application des conventions internationales conclues dans les domaines des droits de l'homme et des réfugiés font ainsi partie des critères décisifs qu'un Etat doit remplir pour être élevé au rang de "safe country". La Suisse n'entre pas en matière sur les demandes d'asile ou les recours déposés par des personnes provenant d'un Etat sûr, à moins qu'il n'existe dans un cas concret des indices de persécution. Ainsi, les personnes réellement persécutées provenant d'Etats sûrs ont toujours la possibilité d'obtenir l'asile en Suisse. Il faut donc examiner s'il existe dans ce cas-ci de tels indices. De fait, il y a d'abord lieu d'observer qu'il n'appert en rien de son dossier que le recourant serait, pour l'un des motifs énoncés à l'art. 3 LAsi, spécifiquement la cible de particuliers contre les agissements desquels les autorités de son pays ne seraient pas en mesure de le protéger (comp. JICRA 2006 n° 18 p. 181 ss). De ce point de vue, ses craintes relèvent davantage de l'art. 83 al. 3 de la loi fédérale sur les étrangers du 16 décembre 2005 (LEtr, RS 142.20) selon lequel le renvoi d'un étranger dans son Etat d'origine, dans son Etat de provenance ou dans un Etat tiers n'est pas licite lorsque cette mesure contrevient aux engagements de la Suisse relevant du droit international. Pour reste, la question à résoudre n'est pas tant de savoir si les autorités en place au Kosovo sont à même ou non de le protéger contre des agressions du genre de celles dont il aurait été victime que de se demander, comme l'ODM l'a fait à bon escient, si ces autorités approuvent, soutiennent ou tolèrent ces méfaits sans réagir pour des motifs inhérents à l'art. 3 LAsi. Sur ce point, force est de constater que les moyens du recourant ne permettent pas de conclure qu'il en irait ainsi. Au contraire, parmi ces moyens figure la photocopie d'une coupure de presse qui fait même état de la volonté de ces autorités d'élucider l'assassinat du père de la fiancée du recourant. Quant aux soupçons d'un des frères, en Suisse, de ladite fiancée sur d'éventuels liens entre les autorités chargées d'enquêter sur l'assassinat de leur père et les assassins de ce dernier, ils ne sauraient être considérés comme des indices probants de persécution contre le recourant. Enfin, à l'instar de l'ODM, le Tribunal estime que les autorités comme les forces de police en activité au Kosovo sont disposées à protéger tous ceux qui y vivent. Qu'elles n'en soient pas forcément capables à tout point de vue n'est pas déterminant car ce qui prime c'est l'intention de ces autorités et dans le cas particulier, cette intention n'est guère contestable. En effet, quand il avait sollicité son intervention, le recourant n'a pas été éconduit par l'autorité à laquelle il dit s'être adressé mais, en l'absence de l'enquêteur principal, il a été invité à repasser ultérieurement, une démarche à laquelle il a volontairement renoncé.</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Conformément à l'art. 83 LEtr, entré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présent cas,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en particulier si l'art. 3 CEDH, qui interdit la torture, les peines ou traitements inhumains, trouve application dans le présent cas d'espèce. Dans sa jurisprudence, la Cour européenne des droits de l'homme a précisé que l'art. 3 CEDH trouvait également application lorsqu'un danger émanait d'individus ou de groupes qui ne sont pas agents de l'Etat (JICRA 1996 no 18 consid. 14b/bb p. 184). En ce qui concerne la preuve d'un tel danger en cas d'exécution de la mesure de renvoi et le degré de cette preuve, les organes de Strasbourg ont souligné que la personne invoquant l'art. 3 CEDH doit démontrer à satisfaction qu'il existe pour elle un véritable risque concret et sérieux d'être victime de tortures, ou de traitements inhumains ou dégradants en cas de renvoi dans son pays. Les organes de la convention estiment qu'une simple possibilité de mauvais traitements n'entraîne pas en soi une infraction à l'article 3 CEDH et exigent une preuve "au-delà de tout doute raisonnable", fondée sur un faisceau d'indices ou de présomptions non réfutées, suffisamment graves, précis et concordants, sans qu'il faille exiger une certitude absolue (JICRA 1996 no 18 précitée p. 186). La Cour européenne des droits de l'homme a par ailleurs exigé que la personne visée par la mesure de renvoi démontre que les autorités de l'Etat de destination ne sont pas en mesure de la protéger de manière appropriée contre des traitements contraires à la Convention (cf. arrêt de la Cour européenne des droits de l'homme du 29 avril 1997 en l'affaire H.L.R. c. France, no 11/1996/630/813).</w:t>
      </w:r>
    </w:p>
    <w:p>
      <w:r>
        <w:rPr>
          <w:b/>
        </w:rPr>
        <w:t>E. 6.4</w:t>
      </w:r>
    </w:p>
    <w:p>
      <w:r>
        <w:t>En l'espèce, le recourant n'a rien amené qui puisse établir qu'il aurait été personnellement menacé, ses moyens se rapportant exclusivement à des membres de la famille de sa fiancée. Comme dit plus haut, il n'a pas non plus démontré s'être réellement employé à chercher une protection dans son pays d'origine ni que les autorités de celui-ci ne seraient pas en mesure de la lui apporter. Au demeurant, il dispose d'un accès effectif, sur les plans tant sécuritaire que judiciaire, à une protection appropriée, susceptible de lui être accordée par les autorités officielles du Kosovo, afin d'empêcher la perpétration d'agressions dirigées contre sa personne (cf.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 Il pourra de surcroît bénéficier du soutien de ses quatre frères ainsi que des autres membres de son réseau familial au Kosovo (cf. pv d'audition sommaire, p. 3, ch. 12). Enfin, en tout état de cause, le Tribunal observe que le recourant n'a pas établi que ceux qui l'auraient menacé interviendraient contre lui partout ailleurs au Kosovo ; il ne saurait d'ailleurs exiger de la part des autorités de son lieu de résidence, quel qu'il soit, y compris en Suisse, une protection préventive absolue contre d'éventuelles agressions. Enfin, il n'a pas non plus établi que s'ils passaient à l'action, ceux qui lui en voudraient pourraient, en dehors de son village d'origine, s'en prendre effectivement et impunément à lui.</w:t>
      </w:r>
    </w:p>
    <w:p>
      <w:r>
        <w:rPr>
          <w:b/>
        </w:rPr>
        <w:t>E. 6.5</w:t>
      </w:r>
    </w:p>
    <w:p>
      <w:r>
        <w:t>Dans ces conditions, l'exécution du renvoi du recourant sous forme de refoulement ne transgresse aucun engagement de la Suisse relevant du droit international, de sorte qu'elle s'avère licite (art. 44 al. 2 LAsi et 83 al. 3 LEtr).</w:t>
      </w:r>
    </w:p>
    <w:p>
      <w:r>
        <w:rPr>
          <w:b/>
        </w:rPr>
        <w:t>E. 7.1</w:t>
      </w:r>
    </w:p>
    <w:p>
      <w:r>
        <w:t>Son retour au Kosovo, n'est pas plus susceptible d'entraîner, pour le recourant, une mise en danger concrète rendant inexigible selon l'art. 83 al. 4 LEtr l'exécution de son renvoi. Il est en effet notoire que ce pays n'est actuellement plus en proie à une guerre, une guerre civile ou à des violences généralisées qui permettraient d'emblée - et indépendamment des circonstances du cas d'espèce - de présumer, à propos de tous les ressortissants du pays, l'existence d'une mise en danger concrète au sens de la disposition précitée. D'autre part, aucun motif humanitaire déterminant lié à la personne du recourant ne s'oppose à son rapatriement. Au Kosovo, le recourant a de surcroît une nombreuse famille susceptible de lui venir en aide à son retour.</w:t>
      </w:r>
    </w:p>
    <w:p>
      <w:r>
        <w:rPr>
          <w:b/>
        </w:rPr>
        <w:t>E. 7.2</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sans échange d'écritures.</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