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E-2496/2014 vom 23. Mai 2014</w:t>
      </w:r>
    </w:p>
    <w:p>
      <w:r>
        <w:t>Bundesverwaltungsgericht, 2014-05-23, DE</w:t>
      </w:r>
    </w:p>
    <w:p>
      <w:r>
        <w:rPr>
          <w:b/>
        </w:rPr>
        <w:t xml:space="preserve">Quelle: </w:t>
      </w:r>
      <w:r>
        <w:t>https://mcp.opencaselaw.ch/entscheid/bvger_E-2496_2014</w:t>
      </w:r>
    </w:p>
    <w:p>
      <w:r>
        <w:t>FR: TAF E-2496/2014 du 23 mai 2014</w:t>
      </w:r>
    </w:p>
    <w:p>
      <w:r>
        <w:t>IT: TAF E-2496/2014 del 23 maggio 2014</w:t>
      </w:r>
    </w:p>
    <w:p>
      <w:pPr>
        <w:pStyle w:val="Heading2"/>
      </w:pPr>
      <w:r>
        <w:t>Regeste</w:t>
      </w:r>
    </w:p>
    <w:p>
      <w:r>
        <w:t>Asylgesuch aus dem Ausland und Einreisebewilligung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gutgeheissen.</w:t>
      </w:r>
    </w:p>
    <w:p>
      <w:r>
        <w:rPr>
          <w:b/>
        </w:rPr>
        <w:t>E. 2</w:t>
      </w:r>
    </w:p>
    <w:p>
      <w:r>
        <w:t>Die Verfügung des BFM vom 9. April 2014 wird aufgehoben und die Sache dem BFM zur neuen Entscheidung zurückgewiesen.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Das BFM wird angewiesen, dem Beschwerdeführer eine Parteientschädigung von Fr. 500.- (inklusive MWSt und Auslagen) zu entrichten.</w:t>
      </w:r>
    </w:p>
    <w:p>
      <w:r>
        <w:rPr>
          <w:b/>
        </w:rPr>
        <w:t>E. 5</w:t>
      </w:r>
    </w:p>
    <w:p>
      <w:r>
        <w:t>Dieses Urteil geht an den Beschwerdeführer, das BFM und die schweizerische Vertretung in Addis Abeba. Die Einzelrichterin: Die Gerichtsschreiberin: Regula Schenker Senn Aglaja Schinzel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