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E-2494/2020 vom 17. April 2020</w:t>
      </w:r>
    </w:p>
    <w:p>
      <w:r>
        <w:t>Bundesverwaltungsgericht, 2020-04-17, DE</w:t>
      </w:r>
    </w:p>
    <w:p>
      <w:r>
        <w:rPr>
          <w:b/>
        </w:rPr>
        <w:t xml:space="preserve">Quelle: </w:t>
      </w:r>
      <w:r>
        <w:t>https://mcp.opencaselaw.ch/entscheid/bvger_E-2494_2020_d20200417</w:t>
      </w:r>
    </w:p>
    <w:p>
      <w:r>
        <w:t>FR: TAF E-2494/2020 du 17 avril 2020</w:t>
      </w:r>
    </w:p>
    <w:p>
      <w:r>
        <w:t>IT: TAF E-2494/2020 del 17 aprile 2020</w:t>
      </w:r>
    </w:p>
    <w:p>
      <w:pPr>
        <w:pStyle w:val="Heading2"/>
      </w:pPr>
      <w:r>
        <w:t>Regeste</w:t>
      </w:r>
    </w:p>
    <w:p>
      <w:r>
        <w:t>Asyl und Wegweisung | Asyl und Wegweisung; Verfügung des SEM vom 17. April 2020</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rPr>
          <w:b/>
        </w:rPr>
        <w:t>E. 1.5</w:t>
      </w:r>
    </w:p>
    <w:p>
      <w:r>
        <w:t>Der Beschwerdeführer ist zur Beschwerdeführung legitimiert (Art. 48 Abs. 1 VwVG). Auf die frist- und formgerecht eingereichte Beschwerde ist einzutreten (aArt. 108 Abs. 1 AsylG; Art. 52 Abs. 1 VwVG).</w:t>
      </w:r>
    </w:p>
    <w:p>
      <w:r>
        <w:rPr>
          <w:b/>
        </w:rPr>
        <w:t>E. 2</w:t>
      </w:r>
    </w:p>
    <w:p>
      <w:r>
        <w:t>Gegenstand des Verfahrens ist der Vollzug der Wegweisung. Die erst im Beschwerdeverfahren gestellten Anträge auf Einbezug des Beschwerde- führers in die Flüchtlingseigenschaft seiner religiös angetrauten Ehefrau und Gewährung von Asyl gestützt auf Art. 51 AsylG stellen – wie bereits in der Zwischenverfügung vom 28. Mai 2020 festgehalten – eine unzulässige Erweiterung des Streitgegenstands dar. Auf die entsprechenden Anträge ist demnach nicht einzutreten.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w:t>
      </w:r>
    </w:p>
    <w:p>
      <w:r>
        <w:t>E-2494/2020 Seite 6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Vorinstanz gelangt in der angefochtenen Verfügung zum Schluss, es lägen keine Wegweisungsvollzugshindernisse vor. Da der Beschwerde- führer die Flüchtlingseigenschaft nicht erfülle, könne auch der Grundsatz der Nichtrückschiebung nach Art. 5 AsylG keine Anwendung finden. Ferner ergäben sich auch keine Anhaltspunkte dafür, dass ihm bei einer Rückkehr nach Äthiopien mit beachtlicher Wahrscheinlichkeit eine durch Art. 3 EMRK verbotene Strafe oder Behandlung drohe. Der Vollzug der Wegweisung sei demnach zulässig. Nach konstanter Praxis sei der Vollzug der Wegwei- sung in alle Regionen Äthiopiens grundsätzlich zumutbar, auch wenn mo- mentan in mehreren Teilen des Landes eine angespannte Lage herrsche. Ferner ergäben sich aus den Akten keine individuellen Gründe, welche ge- gen die Zumutbarkeit des Vollzugs der Wegweisung sprächen. Da die Asyl- vorbringen des Beschwerdeführers unglaubhaft seien, werde weder von einer drohenden Verfolgung durch einen anderen Clan noch durch die K._______ ausgegangen. Der Beschwerdeführer sei jung, gesund und ver- füge über ein grosses Beziehungsnetz in Äthiopien, welches ihn bei einer Rückkehr unterstützen könne. Zudem werde er nicht alleine weggewiesen, sondern in Begleitung seiner religiös angetrauten Ehefrau und des gemein- samen Sohnes. Dieser sei noch sehr jung und nicht eingeschult. Ferner erfolge die Wegweisung mit seinen Eltern, mithin seinen primären Bezugs- personen. Seine Integration in der Schweiz sei nicht so weit fortgeschritten, um ein Wegweisungsvollzugshindernis darzustellen. Der Vollzug der Weg- weisung sei demnach zumutbar und möglich.</w:t>
      </w:r>
    </w:p>
    <w:p>
      <w:r>
        <w:rPr>
          <w:b/>
        </w:rPr>
        <w:t>E. 4.3</w:t>
      </w:r>
    </w:p>
    <w:p>
      <w:r>
        <w:t>In der Rechtsmitteleingabe bringt der Beschwerdeführer vor, sein Vater sei von der K._______ getötet und eine Schwester sei mitgenommen wor- den. Ein Bruder sei geflohen, nachdem er von der Tötung des Vaters er- fahren habe. Er habe somit in Äthiopien kein familiäres und soziales Be- ziehungsnetz. Zudem habe er nur (…) Jahre lang die Schule besucht und nie gearbeitet. Ferner werde er von seiner Familie getrennt und es sei un- klar, ob seine Partnerin als somalische Staatsangehörige in Äthiopien le- ben könne.</w:t>
      </w:r>
    </w:p>
    <w:p>
      <w:r>
        <w:t>E-2494/2020 Seite 7</w:t>
      </w:r>
    </w:p>
    <w:p>
      <w:r>
        <w:rPr>
          <w:b/>
        </w:rPr>
        <w:t>E. 4.4</w:t>
      </w:r>
    </w:p>
    <w:p>
      <w:r>
        <w:t>In der Vernehmlassung führt die Vorinstanz aus, beim Beschwerdefüh- rer sei eine Wegweisung nach Äthiopien und bei seiner Familie infolge der Verletzung der Mitwirkungspflicht eine nach «Staat unbekannt» angeord- net worden. Es könne nicht ausgeschlossen werden, dass seine religiös angetraute Ehefrau äthiopische Staatsbürgerin sei. Da ihre Staatsangehö- rigkeit unbekannt sei, sei die Beurteilung der Zumutbarkeit des Wegwei- sungsvollzugs des Beschwerdeführers beziehungsweise seiner Familie ohnehin nicht vollumfänglich möglich.</w:t>
      </w:r>
    </w:p>
    <w:p>
      <w:r>
        <w:rPr>
          <w:b/>
        </w:rPr>
        <w:t>E. 4.5</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4.6</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 schaffung nach Äthiopien dort mit beachtlicher Wahrscheinlichkeit einer nach Art. 3 EMRK oder Art. 1 FoK verbotenen Strafe oder Behandlung aus-</w:t>
      </w:r>
    </w:p>
    <w:p>
      <w:r>
        <w:t>E-2494/2020 Seite 8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Äthiopien lässt den Wegweisungsvollzug zum heutigen Zeitpunkt nicht als unzulässig er- scheinen, zumal der Beschwerdeführer nicht in eine akute Krisenregion zu- rückkehren muss. Der Vollzug der Wegweisung ist sowohl im Sinne der asyl- als auch der völkerrechtlichen Bestimmungen zulässig.</w:t>
      </w:r>
    </w:p>
    <w:p>
      <w:r>
        <w:rPr>
          <w:b/>
        </w:rPr>
        <w:t>E. 4.7</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4.7.1</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Urteile des BVGer E-4761/2019 vom</w:t>
      </w:r>
    </w:p>
    <w:p>
      <w:r>
        <w:rPr>
          <w:b/>
        </w:rPr>
        <w:t>E. 4.7.2</w:t>
      </w:r>
    </w:p>
    <w:p>
      <w:r>
        <w:t>Beim Beschwerdeführer handelt es sich um einen (…)-jährigen und soweit aus den Akten ersichtlich gesunden Mann. Selbst wenn der Vater des Beschwerdeführers gestorben und (…) Geschwister verschollen sein sollten, verfügt er mit seiner Mutter, (…) weiteren Geschwistern und zahl- reichen Verwandten über ein grosses Beziehungsnetz in C._______. Fer- ner liess er sich von einer in N._______ wohnhaften Person Dokumente in</w:t>
      </w:r>
    </w:p>
    <w:p>
      <w:r>
        <w:t>E-2494/2020 Seite 9 die Schweiz schicken. Zwar gab er an, er verfüge nur über eine rudimen- täre Schulbildung. Er hat aber das Personalienblatt selbst ausgefüllt und spricht Somalisch und ein wenig Englisch (vgl. A1/2 und A11/13 Ziff. 1.17.03). Gemäss seinen Angaben hat er seiner Mutter beim (…) ge- holfen, womit er über Arbeitserfahrung verfügt. Auch wenn eine Rückkehr des Beschwerdeführers nach Äthiopien mit gewissen Schwierigkeiten ver- bunden sein kann, sind die hohen Anforderungen zur Annahme einer kon- kreten Gefährdung im Sinne von Art. 83 Abs. 4 AIG nicht erfüllt.</w:t>
      </w:r>
    </w:p>
    <w:p>
      <w:r>
        <w:rPr>
          <w:b/>
        </w:rPr>
        <w:t>E. 4.8</w:t>
      </w:r>
    </w:p>
    <w:p>
      <w:r>
        <w:t>Soweit der Beschwerdeführer vorbringt, er werde von seiner Familie getrennt und es sei unklar, ob seine religiös angetraute Ehefrau als soma- lische Staatsangehörige in Äthiopien leben könne, ist festzuhalten, dass mit Urteil E-2491/2022 vom 27. September 2022 die Wegweisung und der Vollzug der Wegweisung betreffend seine religiös angetraute Ehefrau und des gemeinsamen (…) rechtskräftig wurden. Wie die Vorinstanz in der Ver- nehmlassung zutreffend ausführte, ist aufgrund der unbekannten Staats- angehörigkeit der religiös angetrauten Ehefrau und des gemeinsamen Sohnes die Beurteilung der Zumutbarkeit des Wegweisungsvollzugs nicht möglich (vgl. a.a.O. E. 7.4). Betreffend Kindeswohl kann sodann vollum- fänglich auf die zutreffenden Erwägungen der Vorinstanz in der angefoch- tenen Verfügung verwiesen werden. Der Vollzug der Wegweisung ist zu- mutbar.</w:t>
      </w:r>
    </w:p>
    <w:p>
      <w:r>
        <w:rPr>
          <w:b/>
        </w:rPr>
        <w:t>E. 4.9</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4.10</w:t>
      </w:r>
    </w:p>
    <w:p>
      <w:r>
        <w:t>Zusammenfassend hat die Vorinstanz den Wegweisungsvollzug zu Recht als zulässig, zumutbar und möglich bezeichnet. Eine Anordnung der vorläufigen Aufnahme fällt somit ausser Betracht (Art. 83 Abs. 1–4 AIG). 5. Aus diesen Erwägungen ergibt sich, dass die angefochtene Verfügung Bundesrecht nicht verletzt, den rechtserheblichen Sachverhalt richtig so- wie vollständig feststellt (Art. 106 Abs. 1 AsylG) und – soweit diesbezüglich überprüfbar – angemessen ist. Für eine Rückweisung der Sache besteht kein Anlass. Die Beschwerde ist abzuweisen, soweit darauf einzutreten ist.</w:t>
      </w:r>
    </w:p>
    <w:p>
      <w:r>
        <w:t>E-2494/2020 Seite 10</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besteht kein Anlass. Die Beschwerde ist abzuweisen, soweit darauf einzutreten ist.</w:t>
      </w:r>
    </w:p>
    <w:p>
      <w:r>
        <w:rPr>
          <w:b/>
        </w:rPr>
        <w:t>E. 6</w:t>
      </w:r>
    </w:p>
    <w:p>
      <w:r>
        <w:t>September 2022 E. 9.3.2).</w:t>
      </w:r>
    </w:p>
    <w:p>
      <w:r>
        <w:rPr>
          <w:b/>
        </w:rPr>
        <w:t>E. 6.1</w:t>
      </w:r>
    </w:p>
    <w:p>
      <w:r>
        <w:t>Bei diesem Ausgang des Verfahrens wären die Kosten dem Besch- werdeführer aufzuerlegen (Art. 63 Abs. 1 VwVG). Da ihm mit Zwischenver- fügung vom 28. Mai 2020 die unentgeltliche Prozessführung gewährt wurde und nicht von einer Veränderung der finanziellen Verhältnisse aus- zugehen ist, sind keine Verfahrenskosten zu erheben.</w:t>
      </w:r>
    </w:p>
    <w:p>
      <w:r>
        <w:rPr>
          <w:b/>
        </w:rPr>
        <w:t>E. 6.2</w:t>
      </w:r>
    </w:p>
    <w:p>
      <w:r>
        <w:t>Mit gleicher Zwischenverfügung wurde dem Beschwerdeführer die amtliche Verbeiständung gewährt und MLaw Olivia Eugster als amtliche Rechtsvertreterin eingesetzt. Die Instruktionsrichterin entliess mit Zwi- schenverfügung vom 13. Juli 2022 MLaw Olivia Eugster aus dem Mandat und wies den Antrag auf Einsetzung von MLaw M._______ als amtliche Rechtsbeiständin ab.</w:t>
      </w:r>
    </w:p>
    <w:p>
      <w:r>
        <w:rPr>
          <w:b/>
        </w:rPr>
        <w:t>E. 6.3</w:t>
      </w:r>
    </w:p>
    <w:p>
      <w:r>
        <w:t>In der Kostennote vom 13. Mai 2020 macht MLaw Olivia Eugster einen Aufwand von fünf Stunden zu einem Stundenansatz von Fr. 200.– und Aus- lagen (inklusiv Dolmetscherkosten von Fr. 35.–) in der Höhe von Fr. 85.– (total Fr. 1'035.–) geltend. In der Beschwerde werden grösstenteils Ausfüh- rungen zum Einbezug in die Flüchtlingseigenschaft und das Asyl der reli- giös angetrauten Ehefrau des Beschwerdeführers gemacht. Der Aufwand für diese ausserhalb des Streitgegenstands liegenden Fragen (vgl. E. 2) ist nicht zu entschädigen. Unter Berücksichtigung der Eingabe vom 1. April 2022 ist der Aufwand auf drei Stunden festzusetzen. Die Auslagen erschei- nen ebenfalls als zu hoch und sind auf Fr. 50.– festzusetzen. Bei amtlicher Vertretung geht das Gericht sodann in der Regel von einem Stundenansatz von Fr. 100.– bis Fr. 150.– für nicht-anwaltliche Vertreterinnen und Vertre- ter aus (vgl. Zwischenverfügung vom 28. Mai 2020). Das amtliche Honorar ist demnach auf Fr. 500.– festzusetzen. Aufgrund der Aktenlage ist davon auszugehen, dass MLaw Olivia Eugster ihren Honoraranspruch an die HEKS Rechtsberatungsstelle für Asylrecht Ostschweiz abgetreten hat.</w:t>
      </w:r>
    </w:p>
    <w:p>
      <w:r>
        <w:t>(Dispositiv nächste Seite)</w:t>
      </w:r>
    </w:p>
    <w:p>
      <w:r>
        <w:t>E-2494/2020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