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E-2477/2017 vom 6. September 2017</w:t>
      </w:r>
    </w:p>
    <w:p>
      <w:r>
        <w:t>Bundesverwaltungsgericht, 2017-09-06, FR</w:t>
      </w:r>
    </w:p>
    <w:p>
      <w:r>
        <w:rPr>
          <w:b/>
        </w:rPr>
        <w:t xml:space="preserve">Quelle: </w:t>
      </w:r>
      <w:r>
        <w:t>https://mcp.opencaselaw.ch/entscheid/bvger_E-2477_2017</w:t>
      </w:r>
    </w:p>
    <w:p>
      <w:r>
        <w:t>FR: TAF E-2477/2017 du 6 septembre 2017</w:t>
      </w:r>
    </w:p>
    <w:p>
      <w:r>
        <w:t>IT: TAF E-2477/2017 del 6 settembre 2017</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concernant l'asile - lesquelles n'entrent pas dans le champ d'exclusion de l'art. 32 LTAF - peuvent être contestées devant le Tribunal conformément à l'art. 33 let. d LTAF (loi à laquelle renvoie l'art. 105 de la loi du 26 juin 1998 sur l'asile [LAsi, RS 142.31]).</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Le recourant a qualité pour recourir (cf. art. 48 al. 1 PA). Présenté dans la forme (cf. art. 52 al. 1 PA) et le délai (cf. art. 108 al. 1 LAsi) prescrits par la loi, le recours est recevable.</w:t>
      </w:r>
    </w:p>
    <w:p>
      <w:r>
        <w:rPr>
          <w:b/>
        </w:rPr>
        <w:t>E. 1.4</w:t>
      </w:r>
    </w:p>
    <w:p>
      <w:r>
        <w:t>En matière d'asile et sur le principe du renvoi,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w:t>
      </w:r>
    </w:p>
    <w:p>
      <w:r>
        <w:t>En matière d'exécution du renvoi, le Tribunal examine en sus le grief d'inopportunité (art. 112 al. 1 de la loi fédérale du 16 décembre 2005 sur les étrangers [LEtr, RS 142.20] en relation avec l'art. 49 PA ; voir aussi ATAF 2014/26, consid. 5).</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3.2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3.4</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(départ du pays après un laps de temps de plus de six à douze mois) ou matériel (changement objectif de circonstances entre la fin de la persécution alléguée et le moment du prononcé de la décision sur la demande d'asile ; sur la notion de lien de causalité, cf. ATAF 2011/50 consid. 3.1.2). Pour les personnes n'ayant pas subi de persécution avant le départ de leur pays, ou s'étant vu opposer une rupture du lien de causalité, il importe de vérifier encore l'existence, en cas de retour dans leur pays, d'une crainte fondée de persécution. Cette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ATAF 2010/44 consid. 3.3 ; voir aussi Samah Posse-Ousmane/Sarah Progin-Theuerkauf in : Code annoté de droit des migrations, vol. IV : Loi sur l'asile (LAsi), Amarelle/Nguyen (éd.), 2015, commentaire ad art. 3, nos 12 ss ; Organisation suisse d'aide aux réfugiés OSAR (éd.), Manuel de la procédure d'asile et de renvoi, 2e éd., 2016, p. 194 ss ; Walter Stöckli, Asyl, in : Ausländerrecht, Handbücher für die Anwaltspraxis, vol. VIII, 2e éd., 2009, n° 11.17 p. 531 ; Minh Son Nguyen, Droit public des étrangers, 2003, p. 442ss ; Haut Commissariat des Nations Unies pour les réfugiés, Guide des procédures et critères à appliquer pour déterminer le statut de réfugié, 1992, nos 37 ss p. 11 ss).</w:t>
      </w:r>
    </w:p>
    <w:p>
      <w:r>
        <w:rPr>
          <w:b/>
        </w:rPr>
        <w:t>E. 4.1</w:t>
      </w:r>
    </w:p>
    <w:p>
      <w:r>
        <w:t>En l'espèce, le récit du recourant est étayé d'importantes contradictions et incohérences.</w:t>
      </w:r>
    </w:p>
    <w:p>
      <w:r>
        <w:rPr>
          <w:b/>
        </w:rPr>
        <w:t>E. 4.2</w:t>
      </w:r>
    </w:p>
    <w:p>
      <w:r>
        <w:t>Premièrement, ses déclarations relatives au double meurtre sont contradictoires quant au nombre de personne(s) tuée(s) et de témoin(s). Si dans son courrier du 23 mai 2012 et lors de son audition du 30 avril 2014 à l'ambassade, à Colombo, le recourant a mentionné avoir été le seul témoin du double meurtre de deux jeunes gens par des militaires, lors de son audition du 26 janvier 2017, et à l'appui de son recours, il a déclaré qu'une seule personne avait été tuée et qu'ils avaient été deux à avoir été témoins du meurtre (cf. pv de l'audition du 26 janvier 2017, Q. 18 ss). Il ne s'agit pas là de contradictions ou d'incohérences mineures qui seraient imputables à l'écoulement du temps, comme le soutient le recourant, mais de contradictions sur des éléments essentiels qui entachent sa crédibilité.</w:t>
      </w:r>
    </w:p>
    <w:p>
      <w:r>
        <w:rPr>
          <w:b/>
        </w:rPr>
        <w:t>E. 4.3</w:t>
      </w:r>
    </w:p>
    <w:p>
      <w:r>
        <w:t>Deuxièmement, les faits relatés par l'intéressé mettent en relief d'autres incohérences. La première lettre, datée du 21 avril 2012 adressée à l'ambassade par laquelle le recourant avait demandé l'asile en Suisse ne contenait aucune indication en rapport avec le meurtre ou le double meurtre (selon les versions) dont il aurait été témoin. Dans cette correspondance, l'intéressé s'était limité à évoquer les difficultés socio-économiques auxquelles lui et sa famille étaient confrontés depuis la fin de la guerre. Ce n'est que dans sa lettre du 23 mai 2012, en réponse au courrier de l'ambassade du 2 mai 2012 attirant son attention sur le fait qu'en Suisse l'asile ne pouvait être accordé pour des raisons humanitaires, que l'intéressé avait évoqué cet incident. Lors de ses trois auditions, le recourant n'a pas non plus spontanément invoqué cet événement et les circonstances l'entourant ; ce n'est qu'après son récit libre sur ses motifs de protection, lorsqu'il a été spécifiquement interrogé sur cet événement et ses conséquences, qu'il en a parlé. En outre, il n'a pas été constant dans ses déclarations quant aux motifs des interrogatoires ainsi que leur fréquence.</w:t>
      </w:r>
    </w:p>
    <w:p>
      <w:r>
        <w:rPr>
          <w:b/>
        </w:rPr>
        <w:t>E. 4.4</w:t>
      </w:r>
    </w:p>
    <w:p>
      <w:r>
        <w:t>Troisièmement, compte tenu du jeune âge au moment des faits allégués (entre [...] et [...] ans), il ne paraît pas logique que non seulement des militaires menacent un enfant de manière aussi systématique, mais surtout que ces mêmes individus l'aient rencontré et reconnu onze ou treize ans (selon les versions) après les faits, alors qu'il était devenu adulte et qu'ils se soient remis à le menacer une ou plusieurs fois. On peut aussi douter de la valeur probante qu'accorderait un tribunal sri lankais au témoignage d'un enfant, plus de dix ans après les faits qui s'étaient produits dans un pays en guerre, de sorte que l'intérêt des meurtriers - qui étaient, par le plus grand des hasards, encore et toujours stationnés dans la même localité - à l'endroit du recourant n'est guère plausible.</w:t>
      </w:r>
    </w:p>
    <w:p>
      <w:r>
        <w:rPr>
          <w:b/>
        </w:rPr>
        <w:t>E. 4.5</w:t>
      </w:r>
    </w:p>
    <w:p>
      <w:r>
        <w:t>Enfin, s'agissant de la tentative d'enlèvement dont le recourant aurait été la victime en novembre 2015, le Tribunal ne saurait la considérer comme vraisemblable. En effet, qu'un homme seul ait voulu l'enlever sous la menace d'une arme, en tentant de le faire asseoir derrière lui sur une moto, n'est pas crédible. De plus, l'implication des autorités sri-lankaises dans la supposée agression dont il aurait été victime, ne constitue qu'une simple supposition de sa part, nullement étayée.</w:t>
      </w:r>
    </w:p>
    <w:p>
      <w:r>
        <w:rPr>
          <w:b/>
        </w:rPr>
        <w:t>E. 4.6</w:t>
      </w:r>
    </w:p>
    <w:p>
      <w:r>
        <w:t>Force est donc de constater que le recourant n'a pas rendu vraisemblables ni ses allégations concernant le meurtre ou double meurtre dont il aurait été témoin ni la tentative d'enlèvement de 2015 dont il aurait fait l'objet.</w:t>
      </w:r>
    </w:p>
    <w:p>
      <w:r>
        <w:rPr>
          <w:b/>
        </w:rPr>
        <w:t>E. 4.7</w:t>
      </w:r>
    </w:p>
    <w:p>
      <w:r>
        <w:t>Toutefois, il est possible, voire probable qu'à l'instar des personnes ayant vécu dans la région du Vanni jusqu'à la défaite des LTTE en mai 2009, le recourant ait subi en 2010 des interrogatoires menés par les autorités locales, à son retour dans la région de Jaffna. Cependant les questions relatives à l'intensité de ces mesures de surveillance et leur caractère ciblé peuvent rester indécises, compte tenu du fait que plus de cinq ans se sont écoulés entre ces interrogatoires et le départ du recourant du pays en 2015. Même s'il fallait admettre l'existence d'une persécution que celui-ci aurait alors subie, le lien temporel de causalité devrait être considéré comme rompu (cf. consid. 2.4).</w:t>
      </w:r>
    </w:p>
    <w:p>
      <w:r>
        <w:rPr>
          <w:b/>
        </w:rPr>
        <w:t>E. 4.7.1</w:t>
      </w:r>
    </w:p>
    <w:p>
      <w:r>
        <w:t>En définitive, les faits allégués par le recourant ne révèlent actuellement aucun facteur particulier à risque au sens de l'arrêt de référence du Tribunal administratif fédéral E-1866/2015 du 15 juillet 2016 (cf. consid. 8.4 et 8.5, par renvoi du consid. 12.3). L'intéressé n'a jamais été actif sur le plan politique, ni n'a été membre ou sympathisant des LTTE, ni n'a fait l'objet de recherches ciblées en raison de prétendus soupçons d'appartenance à cette organisation. De surcroît, bien qu'en cas de retour au pays en possession d'un laissez-passer soit de nature à l'exposer à une brève rétention à l'aéroport en vue d'une vérification plus poussée de son identité, une éventuelle sanction devrait être limitée à une amende pour non-possession de documents ordinaires d'identité. De tels préjudices ne seraient, s'ils devaient se produire, pas sérieux au sens de l'art. 3 LAsi (cf. arrêt de référence précité, consid. 8.4.4). Sur ce point, il convient de souligner que le recourant a déclaré avoir effectué un voyage à Dubaï et être retourné en janvier 2015 au Sri Lanka sans être inquiété ; lors des contrôles à l'aéroport de Colombo, les agents du CID l'ont interrogé, puis relâché, ce qui est un indice sérieux qu'il n'était alors aucunement recherché.</w:t>
      </w:r>
    </w:p>
    <w:p>
      <w:r>
        <w:rPr>
          <w:b/>
        </w:rPr>
        <w:t>E. 4.7.2</w:t>
      </w:r>
    </w:p>
    <w:p>
      <w:r>
        <w:t>Ainsi, la crainte du recourant d'avoir à subir de sérieux préjudices au sens de l'art. 3 LAsi en cas de retour au Sri Lanka n'est objectivement pas fondée.</w:t>
      </w:r>
    </w:p>
    <w:p>
      <w:r>
        <w:rPr>
          <w:b/>
        </w:rPr>
        <w:t>E. 4.8</w:t>
      </w:r>
    </w:p>
    <w:p>
      <w:r>
        <w:t>Il s'ensuit que le recours, en tant qu'il conteste le refus de la reconnaissance de la qualité de réfugié au recourant et le rejet de sa demande d'asile, doit être rejeté et la décision attaquée confirmée sur ces points.</w:t>
      </w:r>
    </w:p>
    <w:p>
      <w:r>
        <w:rPr>
          <w:b/>
        </w:rPr>
        <w:t>E. 5.1</w:t>
      </w:r>
    </w:p>
    <w:p>
      <w:r>
        <w:t>Lorsqu'il rejette la demande d'asile, le SEM prononce, en règle générale, le renvoi de Suisse et en ordonne l'exécution (cf. art. 44 in initio LAsi). Selon l'art. 32 de l'ordonnance 1 sur l'asile du 11 août 1999 (OA 1, RS 142.311), le renvoi de Suisse ne peut être prononcé, lorsque le requérant d'asile est titulaire d'une autorisation de séjour ou d'établissement valable, lorsqu'il fait l'objet d'une décision d'extradition ou lorsqu'il fait l'objet d'une décision de renvoi conformément à l'art. 121 Cst. (RS 101).</w:t>
      </w:r>
    </w:p>
    <w:p>
      <w:r>
        <w:rPr>
          <w:b/>
        </w:rPr>
        <w:t>E. 5.2</w:t>
      </w:r>
    </w:p>
    <w:p>
      <w:r>
        <w:t>En l'occurrence, aucune exception à la règle générale du renvoi n'étant réalisée, le Tribunal est tenu, de par la loi, de confirmer cette mesure. Partant, la décision attaquée, en tant qu'elle prononce le renvoi de Suisse, doit être confirmée, et le recours, sur ce point, être rejeté.</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6.2.1</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6.2.2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Jurisprudence et informations de la Commission suisse de recours en matière d'asile [JICRA] 1996 no 18 consid. 14b let. ee).</w:t>
      </w:r>
    </w:p>
    <w:p>
      <w:r>
        <w:rPr>
          <w:b/>
        </w:rPr>
        <w:t>E. 6.2.3</w:t>
      </w:r>
    </w:p>
    <w:p>
      <w:r>
        <w:t>En l'occurrence, le Tribunal constate que le recourant n'a pas établi qu'il a le profil d'une personne pouvant intéresser les autorités sri-lankaises ni a fortiori l'existence de motifs sérieux et avérés de croire à un risque réel d'être soumis à un traitement de cette nature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Tribunal administratif fédéral E-1866/2015 du 15 juillet 2016 consid. 12.2).</w:t>
      </w:r>
    </w:p>
    <w:p>
      <w:r>
        <w:rPr>
          <w:b/>
        </w:rPr>
        <w:t>E. 6.3</w:t>
      </w:r>
    </w:p>
    <w:p>
      <w:r>
        <w:t>Pour le reste, s'agissant de la question de savoir si la mise en oeuvre du renvoi du recourant par la Suisse est conforme à l'art. 3 CEDH eu égard à son état de santé, il y a lieu de relever ce qui suit.</w:t>
      </w:r>
    </w:p>
    <w:p>
      <w:r>
        <w:rPr>
          <w:b/>
        </w:rPr>
        <w:t>E. 6.3.1</w:t>
      </w:r>
    </w:p>
    <w:p>
      <w:r>
        <w:t>Selon la jurisprudence de la CourEDH, l'éloignement d'une personne gravement malade est susceptible de soulever un problème au regard de l'art. 3 CEDH dans une situation de décès imminent analogue à celle de l'arrêt D. c. Royaume-Uni du 2 mai 1997 ainsi que dans d'autres cas très exceptionnels dans lesquels entrent en jeu des considérations humanitaires tout aussi impérieuses (cf. arrêt de la CourEDH N. c. Royaume-Uni du 27 mai 2008, 26565/05, par. 43 ; voir aussi arrêt de la CourEDH Paposhvili c. Belgique du 13 décembre 2016, 41738/10, par. 178 [ci-après : arrêt Paposhvili]). Ces autres cas très exceptionnels sont ceux dans lesquels il y a des motifs sérieux de croire que la personne gravement malade,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Ces cas correspondent à un seuil élevé pour l'application de l'art. 3 CEDH dans les affaires relatives à l'éloignement des étrangers gravement malades (arrêt Paposhvili, par. 183).</w:t>
      </w:r>
    </w:p>
    <w:p>
      <w:r>
        <w:rPr>
          <w:b/>
        </w:rPr>
        <w:t>E. 6.3.2</w:t>
      </w:r>
    </w:p>
    <w:p>
      <w:r>
        <w:t>En l'occurrence, le recourant est atteint d'une maladie génétique rare qui demeure à l'heure actuelle incurable et qui, selon les pronostics, mène à long terme à une (...). Il s'agit certes d'une épreuve difficile à traverser, mais il convient de rappeler qu'il n'existe pas de traitement en Suisse ni ailleurs dans le monde. Le recourant bénéficie uniquement d'aides (...), et d'un suivi à raison d'une fois par année qu'il pourra obtenir, comme l'a relevé à juste titre le SEM, au Jaffna Teaching Hospital qui constitue un des meilleurs établissements hospitaliers du pays (UK Home Office, Report of a Home Office fact finding mission: treatment of Tamils and people who have a real or perceived association with the former Liberation Tigers of Tamil Eelam (LTTE), July 2016, 03.2017, https://www.gov.uk/government/uploads/system/uploads/attachment_data/file/605479/Sri_Lanka_FFM_Report__11-23_July_2016_.pdf, [consulté le 26.07.2017]) a real or perceived association with the former Liberation Tigers of Tamil Eelam (LTTE), July 2016, 03.2017). Il pourra également être suivi dans cet établissement pour ses troubles psychiques. En outre, des aides (...) pourront lui être fournies par le SEM dans le cadre d'une aide médicale au retour.</w:t>
      </w:r>
    </w:p>
    <w:p>
      <w:r>
        <w:rPr>
          <w:b/>
        </w:rPr>
        <w:t>E. 6.4</w:t>
      </w:r>
    </w:p>
    <w:p>
      <w:r>
        <w:t>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7.10 ; ATAF 2011/50 consid. 8.1 8.3).</w:t>
      </w:r>
    </w:p>
    <w:p>
      <w:r>
        <w:rPr>
          <w:b/>
        </w:rPr>
        <w:t>E. 7.2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du Tribunal administratif fédéral E-1866/2015 précité consid. 13).</w:t>
      </w:r>
    </w:p>
    <w:p>
      <w:r>
        <w:rPr>
          <w:b/>
        </w:rPr>
        <w:t>E. 7.3</w:t>
      </w:r>
    </w:p>
    <w:p>
      <w:r>
        <w:t>Dans son arrêt de référence E-1866/2015 du 15 juillet 2016 précité (consid. 13.2 à 13.4), le Tribunal a procédé à une actualisation de sa jurisprudence publiée aux ATAF 2011/24. Il a confirmé que l'exécution du renvoi était exigible dans l'ensemble de la province du Nord (consid. 13.3) à certaines conditions (consid. 13.3.3), à l'exception de la région du Vanni (consid. 13.3.2 ; cf. la délimitation géographique de l'ATAF 2011/24 précité, consid. 13.2.2.1), dans la province de l'Est à certaines conditions (consid. 13.4) et dans les autres régions du pays (dernier par. du consid. 13.1.2, p. 49, non remis en cause ; cf. ATAF 2011/24 précité consid. 13.3).</w:t>
      </w:r>
    </w:p>
    <w:p>
      <w:r>
        <w:rPr>
          <w:b/>
        </w:rPr>
        <w:t>E. 7.4</w:t>
      </w:r>
    </w:p>
    <w:p>
      <w:r>
        <w:t>En outre, il ne ressort du dossier aucun élément dont on pourrait inférer que l'exécution du renvoi impliquerait une mise en danger concrète du recourant. Il provient du district de Jaffna où l'exécution du renvoi des requérants déboutés est en principe raisonnablement exigible pour les personnes qui ont quitté ce district après la fin de la guerre civile, en mai 2009. En l'occurrence, le recourant a quitté sa région d'origine en décembre 2015. De plus, il dispose d'un réseau familial et social dans son pays (ses parents et sa soeur cadette), sur lequel il pourra compter à son retour. Il ressort de ses déclarations qu'il a toujours été soutenu par ses proches, y compris en ce qui concerne ses problèmes de (...). Par ailleurs, ses parents disposent de moyens financiers suffisants. Pour ces motifs, l'exécution du renvoi doit être considérée comme raisonnablement exigible.</w:t>
      </w:r>
    </w:p>
    <w:p>
      <w:r>
        <w:rPr>
          <w:b/>
        </w:rPr>
        <w:t>E. 8.1</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Il s'ensuit que le recours, en tant qu'il conteste la décision de renvoi et son exécution, doit être également rejeté et la décision attaquée confirmée sur ces points.</w:t>
      </w:r>
    </w:p>
    <w:p>
      <w:r>
        <w:rPr>
          <w:b/>
        </w:rPr>
        <w:t>E. 10</w:t>
      </w:r>
    </w:p>
    <w:p>
      <w:r>
        <w:t>Vu ce qui précède, et contrairement à l'argumentation du recours, le SEM n'a pas fait preuve d'arbitraire dans son appréciation. La décision attaquée ne viole pas le droit fédéral, a établi de manière exacte et complète l'état de fait pertinent (art. 106 al. 1 LAsi) et, dans la mesure où ce grief peut être examiné (art. 49 PA, cf. ATAF 2014/26 consid. 5), n'est pas inopportune. En conséquence, le recours doit être rejeté et la décision attaquée confirmée dans son entier. Il est renoncé à un échange d'écritures (cf. art. 111a al. 1 LAsi).</w:t>
      </w:r>
    </w:p>
    <w:p>
      <w:r>
        <w:rPr>
          <w:b/>
        </w:rPr>
        <w:t>E. 11</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