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E-2476/2025 vom 5. März 2025</w:t>
      </w:r>
    </w:p>
    <w:p>
      <w:r>
        <w:t>Bundesverwaltungsgericht, 2025-03-05, DE</w:t>
      </w:r>
    </w:p>
    <w:p>
      <w:r>
        <w:rPr>
          <w:b/>
        </w:rPr>
        <w:t xml:space="preserve">Quelle: </w:t>
      </w:r>
      <w:r>
        <w:t>https://mcp.opencaselaw.ch/entscheid/bvger_E-2476_2025_d20250305</w:t>
      </w:r>
    </w:p>
    <w:p>
      <w:r>
        <w:t>FR: TAF E-2476/2025 du 5 mars 2025</w:t>
      </w:r>
    </w:p>
    <w:p>
      <w:r>
        <w:t>IT: TAF E-2476/2025 del 5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5.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geboren am (…),</w:t>
      </w:r>
    </w:p>
    <w:p>
      <w:r>
        <w:rPr>
          <w:b/>
        </w:rPr>
        <w:t>E. 2</w:t>
      </w:r>
    </w:p>
    <w:p>
      <w:r>
        <w:t>B._______, geboren am (…), beide Türkei, beide vertreten durch Laura Rudolph, (…), Beschwerdeführerinnen,</w:t>
      </w:r>
    </w:p>
    <w:p>
      <w:r>
        <w:t>gegen Staatssekretariat für Migration (SEM), Quellenweg 6, 3003 Bern, Vorinstanz. Gegenstand Asyl und Wegweisung; Verfügung des SEM vom 5. März 2025 / N (…).</w:t>
      </w:r>
    </w:p>
    <w:p>
      <w:r>
        <w:t>E-2476/2025 Seite 2 Das Bundesverwaltungsgericht stellt fest und erwägt, dass die Beschwerdeführerin 1 eigenen Angaben zufolge am (…) zusam- men mit ihrem Sohn aus erster (religiöser) Ehe und ihrem zweiten (religiös angetrauten) Ehemann die Türkei auf dem Luftweg verlassen hat und am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Beschwerdeführerinnen aufzuerlegen und der geleistete Kostenvorschuss in gleicher Höhe darauf anzurechnen sind (Art. 63 Abs. 1 VwVG). (Dispositiv nächste Seite)</w:t>
      </w:r>
    </w:p>
    <w:p>
      <w:r>
        <w:t>E-2476/2025 Seite 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