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E-2475/2024 vom 17. Mai 2024</w:t>
      </w:r>
    </w:p>
    <w:p>
      <w:r>
        <w:t>Bundesverwaltungsgericht, 2024-05-17, FR</w:t>
      </w:r>
    </w:p>
    <w:p>
      <w:r>
        <w:rPr>
          <w:b/>
        </w:rPr>
        <w:t xml:space="preserve">Quelle: </w:t>
      </w:r>
      <w:r>
        <w:t>https://mcp.opencaselaw.ch/entscheid/bvger_E-2475_2024</w:t>
      </w:r>
    </w:p>
    <w:p>
      <w:r>
        <w:t>FR: TAF E-2475/2024 du 17 mai 2024</w:t>
      </w:r>
    </w:p>
    <w:p>
      <w:r>
        <w:t>IT: TAF E-2475/2024 del 17 maggio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bien-fondé et le sérieux de ses motifs.</w:t>
      </w:r>
    </w:p>
    <w:p>
      <w:r>
        <w:rPr>
          <w:b/>
        </w:rPr>
        <w:t>E. 3.2</w:t>
      </w:r>
    </w:p>
    <w:p>
      <w:r>
        <w:t>En effet, il a fait valoir que la police l'avait surveillé ou parfois brièvement interpellé, s'était rendue en plusieurs occasions dans son restaurant et était venue à son domicile en trois occasions, de 2017 à 2022 ; les agents se seraient à nouveau rendus deux fois à son domicile, peu avant son départ. L'intéressé n'a dès lors pas été la cible de traitements à ce point graves qu'ils puissent être qualifiés de persécution ou atteignent une gravité suffisant à constituer une pression psychique insupportable, ainsi qu'il l'allègue dans son recours (cf. p. 4 ; ATAF 2010/28 consid. 3.3.1.1 et réf. cit.) ; de fait, ils ne différaient pas substantiellement de ceux que doit couramment affronter la population kurde de Turquie, exposée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Il apparaît ainsi que la police ne s'intéressait pas particulièrement au recourant ; le fait qu'il ait milité pour le HDP, sans apparemment y occuper une fonction de responsabilité, n'était pas de nature à le mettre spécialement en danger. L'intéressé a également soutenu que la famille de sa mère était proche du PKK, sans fournir aucune précision à ce sujet ; force est toutefois de constater que cet élément n'a pas eu de conséquences concrètes et qu'il n'y fait du reste plus allusion dans son recours.</w:t>
      </w:r>
    </w:p>
    <w:p>
      <w:r>
        <w:rPr>
          <w:b/>
        </w:rPr>
        <w:t>E. 3.3</w:t>
      </w:r>
    </w:p>
    <w:p>
      <w:r>
        <w:t>Le recourant a également allégué qu'il faisait l'objet d'une procédure pénale pour propagande en faveur d'une organisation terroriste, déposant à l'appui la copie d'un mandat d'amener émis par le juge pénal (« Sulh Ceza Hakimi ») d'Adiyaman en date du (...) 2023, dans le cadre d'une procédure enregistrée sous la cote (...). Bien que les explications du recourant manquent de clarté, il ressort toutefois de ses déclarations que son avocat l'aurait prévenu que des poursuites étaient engagées contre lui, qu'il aurait alors gagné la Suisse, puis que l'avocat lui aurait fait parvenir une copie de la pièce en cause (cf. procès-verbal [p-v] de l'audition du 3 mars 2023, questions 35, 59, 60, 68 à 70, 73 et 74) ; c'est ainsi à tort que le SEM a relevé une incohérence chronologique dans ses déclarations (cf. décision attaquée, p. 6). Cela étant, l'intéressé n'a pas pu indiquer pour quels motifs il se serait vu accusé de propagande en faveur d'une organisation terroriste ; bien qu'interrogé sur ce point, il n'a fait valoir que des généralités et a admis que la police ne s'intéressait pas à lui en raison de son comportement personnel, mais uniquement à cause de son origine kurde alévie (cf. p-v de l'audition du 3 mars 2023, questions 36, 38 et 39). Dans cette mesure, le document produit en copie - qui ne comporte aucune donnée factuelle et dont l'authenticité est d'ailleurs sujette à caution, ainsi que le SEM l'a constaté - ne permet pas de retenir l'existence d'un risque de persécution. A cela s'ajoute que le mandat d'amener indique que l'intéressé, qui n'avait pas répondu à une convocation, devait être interrogé, ce qui n'impliquait pas encore qu'une procédure pénale ait été ensuite menée contre lui. Le recourant a en outre déposé, en annexe à son recours, ce qui semble être l'extrait d'un document judiciaire, sans fournir d'explications. Cet extrait, qui est constitué de deux copies agrandies et tronquées d'un document, indique qu'une procédure a été ouverte par le tribunal pénal (« Asliye Ceza Makhemesi ») d'Adiyaman le (...) 2024, sous la cote (...), qu'un acte d'accusation (« Iddianame ») a été émis et qu'une audience est agendée pour le (...) 2024 ; les motifs et l'état d'avancement de cette procédure restant toutefois inconnus, aucune portée ne peut en l'état lui être accordée dans le contexte précité, ce d'autant moins que le nom de l'intéressé n'est pas même mentionné dans les passages des copies précitées. Enfin, les photographies des proches du recourant et les textes de deux messages qu'il aurait envoyés peu après le tremblement de terre sont sans incidence en matière d'asile.</w:t>
      </w:r>
    </w:p>
    <w:p>
      <w:r>
        <w:rPr>
          <w:b/>
        </w:rPr>
        <w:t>E. 3.4</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constate que le recourant n'a pas établi la haute probabilité d'un risque de cette nature ; dès lors,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 et jurisp. cit.).</w:t>
      </w:r>
    </w:p>
    <w:p>
      <w:r>
        <w:rPr>
          <w:b/>
        </w:rPr>
        <w:t>E. 7.2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w:t>
      </w:r>
    </w:p>
    <w:p>
      <w:r>
        <w:rPr>
          <w:b/>
        </w:rPr>
        <w:t>E. 7.3</w:t>
      </w:r>
    </w:p>
    <w:p>
      <w:r>
        <w:t>Le recourant provient de la province d'Adiyaman, affectée par le tremblement de terre de février 2023 ; elle fait partie des onze provinces qui ont été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En l'espèce, le recourant, âgé de (...) ans à la date du présent arrêt, est encore jeune et apparaît en bonne santé ; en effet, bien qu'il ait déclaré souffrir de troubles psychiques, il n'a déposé aucun rapport médical y relatif - rien n'établissant en outre, au regard du dossier, qu'il ait consulté l'infirmerie du CFA à ce sujet - et n'en fait plus état dans son recours. Il est professionnellement actif de longue date, ayant exploité un (...), puis exercé une activité de (...) et d'(...), ce qui assurait à sa famille une très bonne situation financière (cf. p-v de l'audition du 3 mars 2023, questions 8 et 15). L'intéressé fait certes valoir que la maison où il vivait avec son épouse, ses enfants et ses parents a été détruite (cf. idem, question 12), sans fournir plus de détails. Depuis sa prise de position du 16 mars 2023, postérieure de quelques semaines au séisme, il n'a fourni aucun renseignement sur les conditions de vie et de logement de sa famille ; les deux photographies transmises au SEM avant qu'il ne statue remontent à la même période, soit février ou mars 2023. Par ailleurs, le recourant disposerait en Turquie d'un important réseau familial de six frères et soeurs, son épouse ayant de son côté un frère et deux soeurs (cf. idem, questions 19 et 20). S'il devait considérer que le retour dans sa province d'origine s'avérerait problématique, il apparaît ainsi réalisable qu'il se réinstalle avec les siens dans une autre région du pays, le cas échéant avec l'aide de ses familiers restés en Turquie. Sans méconnaître les obstacles pratiques qu'il pourra rencontrer lors de cette réinstallation, le Tribunal considère que sa bonne situation de fortune et son importante expérience professionnelle seront de nature à la rendre moins ardue (cf. arrêts du Tribunal E-1327/2024 du 17 avril 2024 consid. 8.3.3 ; E-4428/2023 du 15 avril 2024 consid. 7.4.2 ; E-1834/2024 du 5 avril 2024 consid. 10.1.1).</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L'arrêt de fond étant rendu, la requête de dispense du versement d'une avance de frais est sans objet.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