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E-2470/2021 vom 21. Juni 2021</w:t>
      </w:r>
    </w:p>
    <w:p>
      <w:r>
        <w:t>Bundesverwaltungsgericht, 2021-06-21, FR</w:t>
      </w:r>
    </w:p>
    <w:p>
      <w:r>
        <w:rPr>
          <w:b/>
        </w:rPr>
        <w:t xml:space="preserve">Quelle: </w:t>
      </w:r>
      <w:r>
        <w:t>https://mcp.opencaselaw.ch/entscheid/bvger_E-2470_2021</w:t>
      </w:r>
    </w:p>
    <w:p>
      <w:r>
        <w:t>FR: TAF E-2470/2021 du 21 juin 2021</w:t>
      </w:r>
    </w:p>
    <w:p>
      <w:r>
        <w:t>IT: TAF E-2470/2021 del 21 giugno 2021</w:t>
      </w:r>
    </w:p>
    <w:p>
      <w:pPr>
        <w:pStyle w:val="Heading2"/>
      </w:pPr>
      <w:r>
        <w:t>Regeste</w:t>
      </w:r>
    </w:p>
    <w:p>
      <w:r>
        <w:t>Asile et renvoi (demande multiple/réexamen)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(cf. art. 48 al. 1 PA). Présenté dans la forme (cf. art. 52 al. 1 PA) et le délai (cf. art. 108 al. 6 LAsi) prescrits par la loi, le recours est recevable.</w:t>
      </w:r>
    </w:p>
    <w:p>
      <w:r>
        <w:rPr>
          <w:b/>
        </w:rPr>
        <w:t>E. 1.3</w:t>
      </w:r>
    </w:p>
    <w:p>
      <w:r>
        <w:t>Il est renoncé à un échange d'écritures (cf. art. 111a al. 1 LAsi).</w:t>
      </w:r>
    </w:p>
    <w:p>
      <w:r>
        <w:rPr>
          <w:b/>
        </w:rPr>
        <w:t>E. 2</w:t>
      </w:r>
    </w:p>
    <w:p>
      <w:r>
        <w:t>Dans la décision attaquée, le SEM a qualifié la demande du recourant du 5 mars 2021 de demande d'asile multiple. Cette qualification est exacte. En effet, selon la jurisprudence du Tribunal (cf. ATAF 2014/39 consid. 4.5), une demande visant à la constatation de la qualité de réfugié, présentée par un étranger qui, avant l'échéance du délai de cinq ans, a déjà fait l'objet d'une procédure d'asile en Suisse, laquelle s'est terminée par une décision négative entrée en force, et qui allègue des faits nouveaux (postérieurs à la clôture de la procédure précédente) doit en principe être traitée comme une nouvelle demande d'asile au sens de l'art. 111c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w:t>
      </w:r>
    </w:p>
    <w:p>
      <w:r>
        <w:rPr>
          <w:b/>
        </w:rPr>
        <w:t>E. 3.3</w:t>
      </w:r>
    </w:p>
    <w:p>
      <w:r>
        <w:t>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w:t>
      </w:r>
    </w:p>
    <w:p>
      <w:r>
        <w:rPr>
          <w:b/>
        </w:rPr>
        <w:t>E. 3.4.1</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3.4.2</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Le Tribunal a retenu que toutes les personnes actives en tant qu'activistes sur les réseaux sociaux et identifiables en tant que telles n'étaient pas forcément menacées en cas de retour en Iran, insistant ici aussi sur le caractère qualitatif de cet activisme (cf. arrêt du Tribunal E-3473/2017 du 18 février 2020 consid. 6.4).</w:t>
      </w:r>
    </w:p>
    <w:p>
      <w:r>
        <w:rPr>
          <w:b/>
        </w:rPr>
        <w:t>E. 4.1</w:t>
      </w:r>
    </w:p>
    <w:p>
      <w:r>
        <w:t>En l'occurrence, le SEM a considéré que les activités déployées en Suisse par le recourant ne suffisaient pas à établir un risque de persécution en cas de retour en Iran et qu'il n'avait pas le profil d'une personne susceptible d'intéresser les autorités iraniennes. Il a d'abord rappelé que le dépôt d'une demande multiple ne permettait pas une nouvelle évaluation des motifs d'asile allégués en procédure ordinaire. En outre, les activités politiques déployées en exil postérieurement à l'arrêt sur recours, sous la forme de publications sur Facebook, ne seraient pas susceptibles de "soulever les masses" et de constituer une réelle menace pour le régime en place. La participation du recourant à une réunion du parti, le (...) 2020, et à un regroupement de solidarité, le (...) suivant, ne laisseraient pas paraître qu'il serait désormais un leader susceptible d'éveiller l'intérêt des autorités iraniennes. Enfin, l'engagement du recourant dans la chorale de sa paroisse ne constituerait pas un élément nouveau déterminant, mais s'inscrirait dans la continuité de sa conversion au christianisme, déjà dûment examinée en procédure ordinaire.</w:t>
      </w:r>
    </w:p>
    <w:p>
      <w:r>
        <w:rPr>
          <w:b/>
        </w:rPr>
        <w:t>E. 4.2</w:t>
      </w:r>
    </w:p>
    <w:p>
      <w:r>
        <w:t>Dans son recours, A._______ conteste l'argumentation présentée par le SEM, estimant être un opposant kurde très actif en exil avec un profil particulier, que le service secret iranien considère comme un danger pour le régime en place. Il précise que, sur les 75 publications visibles sur son compte Facebook, il en a personnellement rédigé 18 et une en collaboration avec d'autres personnes (publication n° 34). Il expose également avoir publié des liens avec des textes qu'il a écrits en langues allemande et perse (publication n° 15) et une parution modifiée (une photographie de H._______, biffée par une croix qu'il a ajoutée ; publication n° 19). Il argue que ses textes sont critiques d'un point de vue politique et ont un contenu percutant. Du reste, il expose avoir publié des images sur lesquelles l'Iran ainsi que ses dirigeants politiques et religieux sont mal représentés. Il indique avoir participé aux festivités de la journée du drapeau kurde et avoir relaté sur les réseaux sociaux le déroulement de cette fête à I._______. A propos des représailles des autorités iraniennes à l'égard des minorités ethniques en Iran et des opposants kurdes en exil, il se réfère à l'arrêt du Tribunal D-6507/2018 du 4 décembre 2020, à un rapport d'Amnesty International du 15 juillet 2020 ainsi qu'à un jugement de l'Upper Tribunal du Royaume-Uni, Immigration and Asylum Chamber (Country Guiding Case HB (Kurds) Iran CG, [2018] UKUT 00430 [IAC]), publié le 14 décembre 2018. Il conclut, en ce qui le concerne, à un cumul de facteurs de risque, vu son appartenance à une famille d'opposants, son engagement politique de longue date pour la défense du peuple kurde ainsi que son départ illégal du pays. S'agissant de sa pratique et de son engagement envers la confession évangélique, il allègue qu'elle accroît le risque de persécution future à son égard.</w:t>
      </w:r>
    </w:p>
    <w:p>
      <w:r>
        <w:rPr>
          <w:b/>
        </w:rPr>
        <w:t>E. 5.1</w:t>
      </w:r>
    </w:p>
    <w:p>
      <w:r>
        <w:t>Force est d'abord de rappeler que, dans le cadre des procédures précédentes, le SEM et le Tribunal ont considéré que les déclarations du recourant sur ses activités politiques avant son départ du pays n'étaient pas vraisemblables, qu'il n'était pas dans le collimateur des autorités iraniennes au moment de sa fuite et que les activités politiques menées en exil jusque-là n'étaient pas susceptibles d'attirer sur lui l'attention des autorités iraniennes (cf. let. B. ; arrêt du Tribunal du 21 janvier 2020, consid. 5.2 et 6.3). Ainsi, il s'agit de déterminer, dans la présente procédure, si les activités politiques déployées postérieurement à l'arrêt sur recours du 21 janvier 2020 sont susceptibles de modifier l'appréciation faite précédemment et de fonder désormais la crainte du recourant d'être victime de sérieux préjudices en cas de retour, justifiant la reconnaissance de la qualité de réfugié en application de l'art. 54 LAsi.</w:t>
      </w:r>
    </w:p>
    <w:p>
      <w:r>
        <w:rPr>
          <w:b/>
        </w:rPr>
        <w:t>E. 5.2</w:t>
      </w:r>
    </w:p>
    <w:p>
      <w:r>
        <w:t>Il ressort certes des moyens de preuve produits que le recourant est actif sur les réseaux sociaux et qu'il a régulièrement publié du contenu à caractère politique sur sa page Facebook. Cependant, ainsi que l'a à juste titre relevé le SEM dans la décision attaquée, ce n'est pas tant le caractère quantitatif des actions qui est déterminant, mais plutôt son caractère qualitatif. Il ressort des pièces versées au dossier que le recourant n'a essentiellement fait que relater des faits et événements de notoriété publique. Ses publications ne contiennent pas de révélations inédites ni de prises de position personnelles qui seraient de nature à représenter un réel danger pour le régime en place. Il s'agit de commentaires généraux et neutres d'événements connus, auxquels le recourant fait référence en citant ses sources et en publiant les liens Internet. Quant aux publications concernant le PDK-I, elles laissent tout au plus penser que le recourant soutient ce parti, sans toutefois avoir un profil particulièrement engagé et exposé, pouvant attirer sur lui l'attention des autorités iraniennes. En effet, il n'y a aucun commentaire ou prise de position personnelle qui démontrerait un engagement politique supérieur à celui de nombreux compatriotes kurdes en exil, les propos de l'intéressé restant neutres et factuels, y compris ceux relatant la mort de nombreux Kurdes en Iran et en Irak, certains assassinés lors d'attaques commanditées par les autorités iraniennes. A cet égard aussi, il ne publie presque que des informations déjà disponibles sur d'autres supports, dont il mentionne les liens et cite les sources. Or, de telles actions essentiellement médiates, qui consistent à relayer à un cercle de personnes des informations établies principalement par des tiers, ne sauraient être perçues par le régime iranien comme étant une menace sérieuse (cf. arrêt du Tribunal E- 37/2015 du 30 juin 2017 consid. 4.3.2.1). A cela s'ajoute que ses publications ont, pour la plupart, été "likées" par un nombre restreint de personnes, soit moins d'une vingtaine en moyenne, partagées quatre fois seulement et commentées une dizaine de fois au total, ce qui démontre le peu d'intérêt qu'il suscite (mises à part les publications dans lesquelles il fait part de son chagrin et relate les circonstances de l'assassinat de son meilleur ami et du frère de son beau-frère par le régime iranien, qui ont suscité la sympathie de son entourage). Le "hashtag" "(...)", publié dans une langue étrangère à la population iranienne dans son ensemble (langue allemande) à seulement deux reprises, en lien avec le décès de Kurdes, ne semble pas de nature à permettre aux services secrets iraniens de l'identifier comme étant un opposant notoire, représentant une menace sérieuse pour le gouvernement. De même, le simple fait d'avoir tracé une croix sur le portrait d'un homme politique iranien qui a été tué (publication n° 19) ainsi que la mise à jour de son profil Facebook au moyen d'une photographie le montrant devant le siège des (...) à J._______, ne suffisent pas à attirer sur lui l'attention des autorités de son pays. A cet égard, il est rappelé que le Tribunal a déjà tenu compte, dans son arrêt du 21 janvier 2020 (cf. let. N.), de la participation passive de l'intéressé à une session du Conseil des droits de l'homme des Nations Unies. Quant aux publications faites sur son compte Facebook avant l'arrêt du 21 janvier 2020, elles n'ont pas à être examinés dans la présente procédure.</w:t>
      </w:r>
    </w:p>
    <w:p>
      <w:r>
        <w:rPr>
          <w:b/>
        </w:rPr>
        <w:t>E. 5.3</w:t>
      </w:r>
    </w:p>
    <w:p>
      <w:r>
        <w:t>S'agissant de la participation du recourant à une séance du PDK-I à D._______, le (...) 2020, ainsi que sa présence à une réunion de soutien en faveur de E._______, le (...) 2020, elles ne lui confèrent pas non plus le statut d'opposant au régime iranien. Il convient de rappeler la jurisprudence du Tribunal, selon laquelle la participation aux réunions du parti, à la tenue de stands, à la distribution de matériel de propagande dans les zones piétonnes et aux rassemblements sont l'expression typique d'activités politiques en exil de masse, qui ne permettent pas d'admettre que le requérant revêt un profil politique particulièrement exposé. Dans ces conditions, il ne risque pas de faire l'objet d'une surveillance généralisée des autorités iraniennes (cf. arrêts du Tribunal E-3473/2017 précité ; D-5565/2014 du 3 mai 2016 consid. 3.5.3). En l'espèce, A._______ apparaît, lors des deux événements précités, entouré d'un groupe restreint de personnes. A F._______, il pose dans un parc au milieu d'une petite assemblée. A D._______, le public est constitué de personnes dispersées dans la salle. Le recourant a pris la parole, semblant s'adresser aux instances présentes sur l'estrade plutôt qu'au public. Sur la base des photographies et vu cette unique prise de parole, le recourant n'apparaît pas comme un orateur mobilisant les foules de l'opposition en exil, susceptible d'intéresser les autorités iraniennes.</w:t>
      </w:r>
    </w:p>
    <w:p>
      <w:r>
        <w:rPr>
          <w:b/>
        </w:rPr>
        <w:t>E. 5.4</w:t>
      </w:r>
    </w:p>
    <w:p>
      <w:r>
        <w:t>Vu ce qui précède, les activités politiques déployées par le recourant depuis janvier 2020, sur les réseaux sociaux et en personne, ne démontrent pas qu'il revêtirait un profil particulier de l'opposition en exil susceptible d'attirer sur lui l'attention des services secrets iraniens.</w:t>
      </w:r>
    </w:p>
    <w:p>
      <w:r>
        <w:rPr>
          <w:b/>
        </w:rPr>
        <w:t>E. 5.5</w:t>
      </w:r>
    </w:p>
    <w:p>
      <w:r>
        <w:t>La conversion religieuse du recourant a déjà été appréciée en procédure ordinaire et jugée non pertinente pour la reconnaissance de la qualité de réfugié (cf. arrêt E-5718/2017 précité consid. 6.4). Le recourant avait participé à la (...) en 2017 et 2018, cet allégué ayant déjà été examiné dans l'arrêt sur recours. Sa participation, en tant que dirigeant de la chorale, à un camp pour enfant d'une semaine en 2020, organisé par une église évangélique locale, s'inscrit dans la continuité de la pratique de sa nouvelle religion. En tout état de cause, les nouvelles responsabilités qu'il assume au sein de la chorale de sa paroisse ne lui confèrent pas un profil susceptible d'intéresser les services secrets iraniens.</w:t>
      </w:r>
    </w:p>
    <w:p>
      <w:r>
        <w:rPr>
          <w:b/>
        </w:rPr>
        <w:t>E. 5.6</w:t>
      </w:r>
    </w:p>
    <w:p>
      <w:r>
        <w:t>Par ailleurs, le fait que, selon ses dires, son grand-père, membre lui aussi du PDK, vive actuellement en Suède, que son beau-frère demeure pour l'heure introuvable et que son meilleur ami ait été tué lors d'une attaque du régime iranien visant la minorité kurde ne sauraient, en soi, laisser présumer un risque concret, sérieux et actuel de persécution future à l'encontre du recourant en cas de retour en Iran. En effet, il n'est pas établi que ces événements seraient en lien de causalité avec les activités politiques de l'intéressé en exil.</w:t>
      </w:r>
    </w:p>
    <w:p>
      <w:r>
        <w:rPr>
          <w:b/>
        </w:rPr>
        <w:t>E. 5.7</w:t>
      </w:r>
    </w:p>
    <w:p>
      <w:r>
        <w:t>Enfin, ni le rapport d'Amnesty International ni le jugement de l'Upper Tribunal du Royaume-Uni susmentionnés ne sauraient modifier l'appréciation du Tribunal, dans la mesure où ils font état, pour l'essentiel, de contenus généraux et abstraits, dont rien n'indique qu'ils s'appliqueraient directement à la situation individuelle et concrète du recourant, étant de plus rappelé qu'une décision d'une autorité judiciaire étrangère ne peut lier les autorités administratives et judiciaires suisses (cf. arrêts du Tribunal E-7378/2016 du 8 novembre 2018 consid. 4.6 ; D-6029/2016 du 22 octobre 2018 consid. 6.2 ; D-55/2017 du 21 septembre 2018 consid. 6.5 ; E- 37/2015 précité consid. 4.3.2.1).</w:t>
      </w:r>
    </w:p>
    <w:p>
      <w:r>
        <w:rPr>
          <w:b/>
        </w:rPr>
        <w:t>E. 5.8</w:t>
      </w:r>
    </w:p>
    <w:p>
      <w:r>
        <w:t>Vu ce qui précède, il n'y a pas de raison de considérer que les activités déployées par le recourant en Suisse sont arrivées à la connaissance des autorités iraniennes ni qu'elles pourraient, si cela était le cas, être perçues par celles-ci comme étant de nature à mettre en danger le gouvernement en place.</w:t>
      </w:r>
    </w:p>
    <w:p>
      <w:r>
        <w:rPr>
          <w:b/>
        </w:rPr>
        <w:t>E. 5.9</w:t>
      </w:r>
    </w:p>
    <w:p>
      <w:r>
        <w:t>Il s'ensuit que le recours, en tant qu'il conteste le refus de reconnaissance de la qualité de réfugié pour des motifs subjectifs postérieurs à la fuite,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Les questions liées à l'exécution du renvoi de l'intéressé ont été examinées tant par le SEM, dans sa décision 4 septembre 2017, que par le Tribunal dans son arrêt E-5718/2017 du 21 janvier 2020. En l'absence de tout élément nouveau de nature à conduire au réexamen de ces questions et au vu des considérants qui précèdent, l'exécution du renvoi doit être considérée comme étant toujours licite, raisonnablement exigible et possible, au sens des considérants de l'arrêt précité, auquel il est renvoyé. Au demeurant, la question de savoir si un demandeur d'asile définitivement débouté peut demander de rester en Suisse sur la base de sa bonne intégration ressortit aux autorités cantonales de police des étrangers compétentes (cf. art. 14 LAsi), de sorte que l'argumentation du recourant à ce sujet n'est pas pertinente pour l'issue de la cause.</w:t>
      </w:r>
    </w:p>
    <w:p>
      <w:r>
        <w:rPr>
          <w:b/>
        </w:rPr>
        <w:t>E. 8.2</w:t>
      </w:r>
    </w:p>
    <w:p>
      <w:r>
        <w:t>Partant, le recours, en tant qu'il porte sur l'exécution du renvoi, doit également être rejeté.</w:t>
      </w:r>
    </w:p>
    <w:p>
      <w:r>
        <w:rPr>
          <w:b/>
        </w:rPr>
        <w:t>E. 9.1</w:t>
      </w:r>
    </w:p>
    <w:p>
      <w:r>
        <w:t>Dans la mesure où il est statué immédiatement sur le recours, la demande tendant à la dispense de paiement de l'avance de frais devient sans objet (cf. art. 63 al. 4 PA).</w:t>
      </w:r>
    </w:p>
    <w:p>
      <w:r>
        <w:rPr>
          <w:b/>
        </w:rPr>
        <w:t>E. 9.2</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9.3</w:t>
      </w:r>
    </w:p>
    <w:p>
      <w:r>
        <w:t>Dès lors que les conclusions du recours n'apparaissaient pas d'emblée vouées à l'échec et que l'intéressé est indigent, la demande d'assistance judiciaire partielle doit être admise. Il est en conséquence statué sans frais.</w:t>
      </w:r>
    </w:p>
    <w:p>
      <w:r>
        <w:rPr>
          <w:b/>
        </w:rPr>
        <w:t>E. 9.4</w:t>
      </w:r>
    </w:p>
    <w:p>
      <w:r>
        <w:t>La demande d'assistance judiciaire totale doit par contre être rejetée, les questions de droit soulevées en l'espèce (cf. ci-dessus) n'étant pas complexes au point d'exiger du recourant des connaissances juridiques spéciales nécessitant impérativement le concours d'un représentant (cf. art. 65 al. 2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