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E-2470/2016 vom 26. April 2016</w:t>
      </w:r>
    </w:p>
    <w:p>
      <w:r>
        <w:t>Bundesverwaltungsgericht, 2016-04-26, DE</w:t>
      </w:r>
    </w:p>
    <w:p>
      <w:r>
        <w:rPr>
          <w:b/>
        </w:rPr>
        <w:t xml:space="preserve">Quelle: </w:t>
      </w:r>
      <w:r>
        <w:t>https://mcp.opencaselaw.ch/entscheid/bvger_E-2470_2016</w:t>
      </w:r>
    </w:p>
    <w:p>
      <w:r>
        <w:t>FR: TAF E-2470/2016 du 26 avril 2016</w:t>
      </w:r>
    </w:p>
    <w:p>
      <w:r>
        <w:t>IT: TAF E-2470/2016 del 26 aprile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auf das Asylgesuch zu 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 der Vorinstanz ist weder in tatsächlicher noch in rechtlicher Hinsicht zu beanstanden. Die Beschwerde zeigt nicht auf, inwiefern die Vorinstanz Bundesrecht verletzt oder den Sachverhalt fehlerhaft festgestellt haben soll. Solches ist auch nicht zu erkennen. So bestätigen die Beschwerdeführer ihre Reiseroute über Kroatien, womit die Vor-instanz zu Recht die Zuständigkeit Kroatiens erkannt und die kroatischen Behörden - gestützt auf Art. 13 Abs. 1 Dublin-III-VO - um Übernahme ersucht hat. Dass Kroatien nicht ausdrücklich Stellung genommen hat, bleibt ohne Bedeutung. Bereits mit Fristablauf wird die Zustimmung fingiert. Kroatien ist somit verpflichtet, die Personen aufzunehmen und angemessene Vorkehrungen für ihre Ankunft zu treffen (Art. 22 Abs. 7 Dublin-III-VO). Weiter bleiben die in der Rechtsmitteleingabe geschilderten Vorgänge an der kroatischen Grenze - das Ausstellen einer Wegweisungsverfügung durch die Grenzpolizei infolge rechtswidriger Einreise - vorliegend ohne Belang, zumal nicht ersichtlich ist und auch nicht dargetan wurde, inwiefern sie am durch die Vorinstanz festgestellten rechtserheblichen Sachverhalt etwas ändern könnten. Es sind dem Gericht überdies keine wesentlichen Gründe bekannt für die Annahme, das Asylverfahren und die Aufnahmebedingungen für Antragsteller in Kroatien würden systemische Schwachstellen aufweisen, die eine Gefahr einer unmenschlichen oder entwürdigenden Behandlung im Sinne des Art. 4 der EU-Grundrechtecharta mit sich bringen könnten. So ist Kroatien Signatarstaat der EMRK, des Abkommens vom 28. Juli 1951 über die Rechtsstellung der Flüchtlinge (FK, SR 0.142.30) sowie des Übereinkommens vom 10. Dezember 1984 gegen Folter und andere grausame, unmenschliche oder erniedrigende Behandlung oder Strafe (FoK, SR 0.105) und es gibt keine konkreten Hinweise dafür, dass sich Kroatien nicht an die daraus resultierenden Verpflichtungen halten würde. Auch kann davon ausgegangen werden, dass Kroatien die Rechte anerkennt und schützt,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liegen auch keine Anhaltspunkte vor, dass Kroatien seine staatsvertraglichen Verpflichtungen im vorliegenden Fall missachten würde und die Beschwerdeführer unter Verletzung der EMRK einer menschenunwürdigen oder erniedrigenden Behandlung ausgesetzt wären, oder dass das flüchtlingsrechtliche Non-Refoulement-Gebot verletzt würde. Die Beschwerdeführer haben keine konkreten Hinweise für die Annahme dargetan, Kroatien würde die ihnen gemäss Aufnahmerichtlinie zustehenden Lebensbedingungen - inklusive allfälliger medizinischer Versorgung - dauerhaft vorenthalten (vgl. Urteil des BVGer D-1611/2015 vom 22. März 2016, E. 4.3). Nach dem Gesagten liegen somit auch keine Umstände vor, die einen - nach Ermessen zu beurteilenden - Selbsteintritt aus humanitären Gründen im Rahmen der Souveränitätsklausel (Art. 29a Abs. 3 Asylverordnung 1 [AsylV 1, SR 142.311] i.V.m. Art. 17 Abs. 1 Dublin-III-VO) rechtfertigen würden. Die Ermessensausübung der Vorinstanz stellt keine Rechtsverletzung dar. Die Vorinstanz ist zu Recht auf die Asylgesuche nicht eingetreten.</w:t>
      </w:r>
    </w:p>
    <w:p>
      <w:r>
        <w:rPr>
          <w:b/>
        </w:rPr>
        <w:t>E. 4</w:t>
      </w:r>
    </w:p>
    <w:p>
      <w:r>
        <w:t>Aus diesen Erwägungen ergibt sich, dass die angefochtene Verfügung Bundesrecht nicht verletzt und auch sonst nicht zu beanstanden ist (Art. 106 AsylG und Art. 49 VwVG). Die Beschwerde ist abzuweisen. Der Antrag auf Gewährung der aufschiebenden Wirkung ist mit vorliegendem Urteil gegenstandslos geworden.</w:t>
      </w:r>
    </w:p>
    <w:p>
      <w:r>
        <w:rPr>
          <w:b/>
        </w:rPr>
        <w:t>E. 5.1</w:t>
      </w:r>
    </w:p>
    <w:p>
      <w:r>
        <w:t>Die Beschwerdeführer beantragen die Gewährung der unentgeltlichen Rechtspflege (inklusive amtlicher Verbeiständung) gemäss Art. 65 Abs. 1 und 2 VwVG. Aufgrund der vorstehenden Erwägungen ergibt sich, dass ihre Begehren als aussichtslos zu gelten haben. Damit ist eine der kumulativ zu erfüllenden Voraussetzungen nicht gegeben, weshalb das Gesuch - ungeachtet der prozessualen Bedürftigkeit - abzuweisen ist.</w:t>
      </w:r>
    </w:p>
    <w:p>
      <w:r>
        <w:rPr>
          <w:b/>
        </w:rPr>
        <w:t>E. 5.2</w:t>
      </w:r>
    </w:p>
    <w:p>
      <w:r>
        <w:t>Bei diesem Ausgang des Verfahrens sind die Kosten von Fr. 600.- (Art. 1-3 des Reglements vom 21. Februar 2008 über die Kosten und Entschädigungen vor dem Bundesverwaltungsgericht [VGKE], SR 173.320.2) den Beschwerdeführern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