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E-2466/2022 vom 3. Mai 2022</w:t>
      </w:r>
    </w:p>
    <w:p>
      <w:r>
        <w:t>Bundesverwaltungsgericht, 2022-05-03, DE</w:t>
      </w:r>
    </w:p>
    <w:p>
      <w:r>
        <w:rPr>
          <w:b/>
        </w:rPr>
        <w:t xml:space="preserve">Quelle: </w:t>
      </w:r>
      <w:r>
        <w:t>https://mcp.opencaselaw.ch/entscheid/bvger_E-2466_2022_d20220503</w:t>
      </w:r>
    </w:p>
    <w:p>
      <w:r>
        <w:t>FR: TAF E-2466/2022 du 3 mai 2022</w:t>
      </w:r>
    </w:p>
    <w:p>
      <w:r>
        <w:t>IT: TAF E-2466/2022 del 3 maggio 2022</w:t>
      </w:r>
    </w:p>
    <w:p>
      <w:pPr>
        <w:pStyle w:val="Heading2"/>
      </w:pPr>
      <w:r>
        <w:t>Regeste</w:t>
      </w:r>
    </w:p>
    <w:p>
      <w:r>
        <w:t>Asyl (ohne Wegweisungsvollzug) | Asyl (ohne Wegweisungsvollzug); Verfügung des SEM vom 3. Mai 2022</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zur Ein- 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Über offensichtlich unbegründete Beschwerden in einzelrichterlicher Zu- ständigkeit mit Zustimmung eines zweiten Richters beziehungsweise einer</w:t>
      </w:r>
    </w:p>
    <w:p>
      <w:r>
        <w:t>E-2466/2022 Seite 6 zweiten Richterin entschieden wird (Art. 111 Bst. e AsylG) und es sich vor- liegend, wie nachstehend aufgezeigt, um eine solche handelt,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stellte vorgängig fest, dass die Beschwerdeführerin eine of- fensichtlich gefälschte Identitätskarte eingereicht hat. Aufgrund der übrigen Unterlagen (Kopien der Schuldiplome und Geburtsurkunden der Kinder) sowie den Ausführungen zur Identität, Herkunft und Familienverhältnissen und weil keine Hinweise auf eine andere Staatsangehörigkeit erkennbar seien, ging die Vorinstanz indes gleichwohl von der Glaubhaftigkeit der An- gaben hinsichtlich Identität und Herkunft aus.</w:t>
      </w:r>
    </w:p>
    <w:p>
      <w:r>
        <w:rPr>
          <w:b/>
        </w:rPr>
        <w:t>E. 5.2</w:t>
      </w:r>
    </w:p>
    <w:p>
      <w:r>
        <w:t>Die Beschwerdeführerin habe in der Sache geltend gemacht, dass ihr Bekannter E._______ sie mit falschen Versprechungen nach Italien vermit- telt habe. In Italien sei sie rund sechs Monate festgehalten und zur Prosti- tution gezwungen worden. Sie befürchte, dass sich E._______ oder sein Netzwerk an ihr oder ihren Familienangehörigen in Uganda rächen könn- ten.</w:t>
      </w:r>
    </w:p>
    <w:p>
      <w:r>
        <w:t>E-2466/2022 Seite 7</w:t>
      </w:r>
    </w:p>
    <w:p>
      <w:r>
        <w:rPr>
          <w:b/>
        </w:rPr>
        <w:t>E. 5.2.1</w:t>
      </w:r>
    </w:p>
    <w:p>
      <w:r>
        <w:t>Es sei zu prüfen, ob die Behörden des Herkunftslandes über ange- messene und wirksame Strukturen zum Schutz der Opfer verfügten und diese anwendeten. In Uganda seien in den letzten Jahren die Bemühungen zur Bekämpfung des Menschenhandels intensiviert und es seien einige Fortschritte erzielt worden (Identifizierung von mehr Opfern und die Unterzeichnung der Nati- onalen Richtlinien für den Umgang mit Opfern des Menschenhandels in Uganda [NRG]). Die Regierung habe die strafrechtliche Verfolgung von mutmasslichen Menschenhändlern verstärkt und das Personal der Straf- verfolgungsbehörden erhöht, habe Anschuldigungen wegen Mittäterschaft bei Menschenhandelsverbrechen untersucht und innerhalb der ugandi- schen Polizei und Kriminalpolizei Stellen für Menschenhandelsbeauftragte geschaffen. Die Regierung habe den Nationalen Aktionsplan zur Präven- tion des Menschenhandels in Uganda 2019-2024 geschaffen (U.S. Depart- ment of State, 2021 Trafficking in Persons Report: Uganda, TIPR-GPA-up- load-07222021.pdf (state.gov), S.5680, zuletzt konsultiert am 21.04.2022). Im Jahr 2009 sei in Uganda das Gesetz zur Verhinderung von Menschen- handel in Kraft getreten, welches verschiedene Massnahmen zum Schutz der Opfer von Menschenhandel und zur Verfolgung von Menschenhandel definiere (The Uganda Gazette, Kampala. The prevention of trafficking in persons act, 2009. No. 52, Vol. Cll, 23.10.2009, Uganda Prevention-of- Traffickinq-in-Persons-Act 2009.pdf (berkeley.edu). Allerdings habe die Regierung Ugandas in jüngster Zeit keine verstärkten Anstrengungen in Bezug auf den Schutz von Opfern und die Verfolgung von Menschenhändlern nachweisen können. Die Gründe für die ungenü- gende Durchsetzung dieser Gesetze und Massnahmen begründe die ugandische Regierung hauptsächlich in einem Mangel an Ressourcen. Es lägen jedoch keine Hinweise auf eine systematische Diskriminierung von Opfern von sexueller Ausbeutung beziehungsweise Zwangsprostitu- tion durch den Staat vor. Das Gesetz zur Verhinderung des Menschenhan- dels sehe vor, dass ein Opfer von MenschenhandeI nicht für ein Verbre- chen bestraft werde, das als direktes Ergebnis des erlittenen Menschen- handels begangen worden sei (The Uganda Gazette, Kampala. The pre- vention of trafficking in persons act, 2009. No. 52, Vol. Cll, 23.10.2009, Uganda Preventionof-Traffickinq-in-Persons-Act 2009.pdf (berkeley.edu), 11.02.2022; SEM, Bern-Wabern, 25.11.2021, Cosulting Ouganda: Traite des personnes et prostitution, Akte1048477-58/6, S. 5). Obwohl Prostitu-</w:t>
      </w:r>
    </w:p>
    <w:p>
      <w:r>
        <w:t>E-2466/2022 Seite 8 tion in Uganda strafbar sei, gebe es keine Anzeichen dafür, dass die Be- hörden übermässig streng gegen Prostitution vorgehen würden, auch wenn Prostitution im Allgemeinen aufgrund von Gewohnheiten oder Tradi- tionen in Uganda stigmatisiert werde.</w:t>
      </w:r>
    </w:p>
    <w:p>
      <w:r>
        <w:rPr>
          <w:b/>
        </w:rPr>
        <w:t>E. 5.2.2</w:t>
      </w:r>
    </w:p>
    <w:p>
      <w:r>
        <w:t>Im vorliegenden Fall lasse sich aus diesen Feststellungen schlies- sen, dass die Behörden zwar grundsätzlich geeignete Schutz- und Verfol- gungsmassnahmen bieten würden, die Durchsetzung der entsprechenden Gesetze und Massnahmen jedoch mangelhaft sei. Somit sei davon auszu- gehen, dass der ugandische Staat einen angemessenen Schutz nicht ga- rantieren könne. Die vom SEM im Bereich Menschenhandel zwecks sexueller Ausbeutung entwickelte Praxis schliesse einen Einbezug in den Begriff der Zugehörig- keit zu einer bestimmten sozialen Gruppe aus und siehe vor, dass das Vor- bringen der sexuellen Ausbeutung unter dem Aspekt der Diskriminierung und der in diesem Zusammenhang von der Beschwerdeinstanz entwickel- ten Rechtsprechung zu prüfen sei (EMARK 2006/32). Im vorliegenden Fall stünden die geltend gemachten Befürchtungen in Zusammenhang mit der Bedrohung, die gegen die Beschwerdeführerin und allenfalls gegen ihre Familie von der Person beziehungsweise dem Netzwerk ausgehe, welche die Beschwerdeführerin ausgebeutet hätte. Falls jedoch die Behörden von Uganda nicht in der Lage seien, für Ihre Sicherheit zu sorgen, sei festzu- stellen, dass der fehlende Schutz nicht auf eine Diskriminierung aufgrund des Geschlechts, sondern, wie ausgeführt, hauptsächlich auf mangelnde Ressourcen, verbreitete Korruption und fehlendes Interesse der zuständi- gen Behörden zurückzuführen sei. Aus diesen Gründen seien die diesbezüglichen Vorbringen der Beschwer- deführerin nicht asylrelevant im Sinne von Art. 3 AsylG. Den geltend ge- machten Befürchtungen und der Bedeutung des mangelhaften Schutzes seitens der ugandischen Behörden werde daher bei der Prüfung der Voll- zugshindernisse unter dem Wegweisungspunkt Rechnung getragen. In diesem Punkt hat es das SEM nicht ausgeschlossen, dass Uganda keine tatsächlich ausreichenden Schutzmassnahmen von Opfer von Menschen- handel habe und hat aus diesem Grund die Beschwerdeführerin wegen Unzulässigkeit des Wegweisungsvollzugs vorläufig aufgenommen.</w:t>
      </w:r>
    </w:p>
    <w:p>
      <w:r>
        <w:rPr>
          <w:b/>
        </w:rPr>
        <w:t>E. 5.3</w:t>
      </w:r>
    </w:p>
    <w:p>
      <w:r>
        <w:t>Das SEM führte in der angefochtenen Verfügung im Weiteren aus, die Beschwerdeführerin habe geltend gemacht, Opfer von häuslicher Gewalt</w:t>
      </w:r>
    </w:p>
    <w:p>
      <w:r>
        <w:t>E-2466/2022 Seite 9 geworden zu sein. Der Vater ihrer Kinder habe sie über Jahre psychisch und physisch misshandelt. Für ihre Kinder habe er keine Verantwortung übernommen, geschweige denn diese finanziell unterstützt. Sie befürchte, dass er sie erneut aufsuchen und nicht in Ruhe lassen, vielleicht sogar töten würde (Akten A24, F27ff, F51; 1099824-33/14 [nachfolgend A33], F27ff, F34; A47, F23, F34ff.)</w:t>
      </w:r>
    </w:p>
    <w:p>
      <w:r>
        <w:rPr>
          <w:b/>
        </w:rPr>
        <w:t>E. 5.3.1</w:t>
      </w:r>
    </w:p>
    <w:p>
      <w:r>
        <w:t>In Bezug auf die Asylrelevanz gemäss Art. 3 AsyIG werde ge- schlechtsspezifische Verfolgung, darunter falle auch die häusliche Gewalt, unter dem Verfolgungsmotiv '’Zugehörigkeit einer bestimmten sozialen Gruppe" betrachtet. Bei der Überprüfung, ob die Gründe, die sich auf fami- liäre Konflikte (Gewalt gegen Frauen, Zwangsheirat, Drohungen von Fami- lienmitgliedern, Inzest usw.) stützten, sei ebenfalls die Frage einer effekti- ven Schutzgewährung im Heimatstaat zu prüfen. Gemäss ugandischer Verfassung hätten Frauen den gleichen Rechtssta- tus und die gleichen Rechte wie Männer. Das ugandische Gesetz stelle Vergewaltigung von Frauen und häusliche Gewalt unter Strafe. Letztere werde im Falle einer Verurteilung mit bis zu zwei Jahren Gefängnisstrafe geahndet (Laws of Uganda, Domestic Violence Act, Art. 4.2, DOMESTIC VIOLENCE ACT. 1 Principal Leqislation (uqandalaws.com)). Allerdings seien gemäss einem Bericht dem US-Department of State zum Jahr 2020 auch in diesem Bereich Mängel bei der Durchsetzung dieser Gesetze fest- gestellt worden. So berichteten lokale NGOs über zahlreiche Fälle von Dis- kriminierung von Frauen, unter anderem in den Bereichen Scheidung, Be- schäftigung, Bildung und Besitz oder Verwaltung von Unternehmen und Eigentum. Viele Gewohnheitsgesetze würden Frauen bei Adoption, Heirat, Scheidung und Erbschaft diskriminieren. Geschlechtsspezifische Gewalt sei in Uganda verbreitet (U.S. Department of State, 2020 Country Reports on Human Rights Practices: Uganda, UGANDA 2020 HUMAN RIGHTS REPORT (state.gov), S. 28ff).</w:t>
      </w:r>
    </w:p>
    <w:p>
      <w:r>
        <w:rPr>
          <w:b/>
        </w:rPr>
        <w:t>E. 5.3.2</w:t>
      </w:r>
    </w:p>
    <w:p>
      <w:r>
        <w:t>Die Beschwerdeführerin mache geltend, dass der Kindsvater die Beziehung zu ihr 2012 beendet habe, als sie mit dem ersten Kind schwan- ger gewesen sei. Ende 2017 sei seien sie wieder ein Paar geworden und hätten wieder zusammengelebt. Später sei er ihr gegenüber aber wieder gewalttätig geworden. Nach diesem Vorfall habe sie Angst vor ihm gehabt und habe schliesslich Anzeige bei der Polizei erstattet. Die Polizei in Kibuye, Kampala, habe die Anzeige aufgenommen und danach den Kinds- vater telefonisch vorgeladen. Dieser habe sich jedoch geweigert. Nach ei- niger Zeit sei ihr Partner wieder zu ihr zurückgekehrt und er habe danach</w:t>
      </w:r>
    </w:p>
    <w:p>
      <w:r>
        <w:t>E-2466/2022 Seite 10 wieder bei ihr gewohnt. Im Jahr 2019 hätten sie sogar ein zweites Kind von ihm bekommen. Er habe sich aber nicht gebessert. Das letzte Mal habe sie ihn einige Monate vor ihrer Ausreise aus Uganda gesehen, bevor Sie zu ihren Eltern gezogen sei, (A33, F34; A47, F34ff).</w:t>
      </w:r>
    </w:p>
    <w:p>
      <w:r>
        <w:rPr>
          <w:b/>
        </w:rPr>
        <w:t>E. 5.3.3</w:t>
      </w:r>
    </w:p>
    <w:p>
      <w:r>
        <w:t>Auch wenn die Polizei gemäss der subjektiven Ansicht der Beschwer- deführerin nicht genug zu ihrem Schutz gemacht haben sollte, so habe sie selber ebenfalls keine grossen Anstrengungen unternommen, den Kinds- vater von sich und den Kindern fernzuhalten. Sie habe sich in all den Jah- ren, in denen sie Probleme mit dem Kindsvater gehabt habe, nur ein einzi- ges Mal, zirka Ende 2017 bei der Polizei gemeldet. Entgegen der Auffor- derung der Polizei, sich wieder zu melden, falls ihr Partner wiederauftau- chen sollte, habe sie es unterlassen, die Polizei über seinen Aufenthalt und Verbleib zu informieren, obwohl er immer wieder bei ihr ein- und ausge- gangen sei. Auch eine Schutzeinrichtung habe sie nicht aufgesucht.</w:t>
      </w:r>
    </w:p>
    <w:p>
      <w:r>
        <w:rPr>
          <w:b/>
        </w:rPr>
        <w:t>E. 5.3.4</w:t>
      </w:r>
    </w:p>
    <w:p>
      <w:r>
        <w:t>Vor diesem Hintergrund sei festzustellen, dass der Beschwerdefüh- rerin der Zugang zum Schutzsystem gewährt worden sei. Es lägen keine konkreten Hinweise auf einen Mangel an Schutzwille bzw. –fähigkeit sei- tens der ugandischen Behörden vor, denn die Beschwerdeführerin habe nicht ausreichend versucht, Schutz durch die ugandischen Behörden zu erhalten. Obwohl die Beschwerdeführerin über den Aufenthalt des Kinds- vaters Kenntnis gehabt habe, habe sie diese Informationen der Polizei nicht mitgeteilt. Ihre simple Erklärung hierfür, dass die Polizei dort ganz anders sei und man nicht ständig mit demselben Problem zur Wache ge- hen könne, sei nicht geeignet, einen allfälligen Mangel an Schutzwille und Schutzfähigkeit der ugandischen Behörden zu begründen. Im Weiteren sei die Beschwerdeführerin nicht mit dem Kindsvater verhei- ratet und das elterliche Sorgerecht liege bei ihr beziehungsweise ihren El- tern und ihrem Bruder. Ihre Kinder würden sich zurzeit in der Obhut ihrer Familie befinden (A24, F46; A33, F19ff). Vor diesem Hintergrund sei nicht davon auszugehen, dass der Kindsvater künftig irgendwelche rechtlichen Ansprüche in Bezug auf die Beschwerdeführerin geltend machen könnte oder gegen sie oder die Kinder vorgehen würde. Daher sei kein ernsthaftes und objektives Risiko ersichtlich, dass der Kindsvater eine konkrete und ernsthafte Gefahr darstellen würde.</w:t>
      </w:r>
    </w:p>
    <w:p>
      <w:r>
        <w:rPr>
          <w:b/>
        </w:rPr>
        <w:t>E. 5.4</w:t>
      </w:r>
    </w:p>
    <w:p>
      <w:r>
        <w:t>Somit seien auch diese Vorbringen flüchtlingsrechtlich nicht relevant. Das Asylgesuch sei daher abzulehnen.</w:t>
      </w:r>
    </w:p>
    <w:p>
      <w:r>
        <w:t>E-2466/2022 Seite 11</w:t>
      </w:r>
    </w:p>
    <w:p>
      <w:r>
        <w:rPr>
          <w:b/>
        </w:rPr>
        <w:t>E. 6.1</w:t>
      </w:r>
    </w:p>
    <w:p>
      <w:r>
        <w:t>In der Beschwerde wurde diesen vorinstanzlichen Feststellungen im Wesentlichen entgegengehalten, dass nach aktueller Rechtsprechung lei- der Opfer wie die Beschwerdeführerin nicht per se die Flüchtlingseigen- schaft erfüllen würden. Dies weil Opfer von sexueller Ausbeutung nicht zu einer bestimmten sozialen Gruppe gehörten; ausser es gebe im Heimat- staat aufgrund relevanter Asylgründe keinen angemessenen Schutz. Da es sich beim Menschenhandel jedoch oft um ein grenzüberschreiten- des Verbrechen handle, wäre angezeigt, auch die Rechtsprechung der in- ternationalen Institutionen und umliegenden Ländern zu berücksichtigen. In der Lehre und Rechtsprechung der Nachbarländer werde zusehends die Meinung vertreten, dass Opfer von Menschenhandel eine soziale Gruppe bilden könnten. Menschenhandelsopfer würden gezielt, systematisch und immer professioneller aufgrund bestimmter sozialer Merkmale und mit dem Versprechen, sie aus ihrer in der Regel desolaten Lebenslage zu befreien, rekrutiert. Die Zugehörigkeit von Frauen, welche diese spezifischen Merk- male aufwiesen und deswegen Opfer von Menschenhandel geworden seien, zu einer bestimmten sozialen Gruppe sei zu bejahen. Vorliegend sei die Beschwerdeführerin Opfer von Menschenhandel gewor- den. Die erlebten und die drohenden Nachteile erreichten die gemäss Art. 3 AsyIG nötige Intensität. Sie erfülle die typischen Merkmale für Opfer von Menschenhandel und gehöre dadurch einer bestimmten sozialen Gruppe an. Bei einer Rückkehr nach Uganda drohten der Beschwerdefüh- rerin ernsthafte Nachteile, ohne vom ugandischen Staat Schutz zu erhal- ten. Auch eine innerstaatliche Fluchtalternative sei zu verneinen.</w:t>
      </w:r>
    </w:p>
    <w:p>
      <w:r>
        <w:rPr>
          <w:b/>
        </w:rPr>
        <w:t>E. 6.2</w:t>
      </w:r>
    </w:p>
    <w:p>
      <w:r>
        <w:t>Hinsichtlich der erlittenen häuslichen Gewalt im Heimatstaat lägen ge- schlechtsspezifische Fluchtgründe vor. Die Beschwerdeführerin habe die Mängel in der Umsetzung der Gesetze sowie die geschlechtsspezifische Diskriminierung in Uganda am eigenen Leibe erfahren. Sie erfülle daher auch unter Berücksichtigung der frauenspezifischen Fluchtgründe die Flüchtlingseigenschaft.</w:t>
      </w:r>
    </w:p>
    <w:p>
      <w:r>
        <w:rPr>
          <w:b/>
        </w:rPr>
        <w:t>E. 7.1</w:t>
      </w:r>
    </w:p>
    <w:p>
      <w:r>
        <w:t>Die Vorinstanz hat die Vorbringen der Beschwerdeführerin in der ange- fochtenen Verfügung die Flüchtlingseigenschaft zu Recht verneint und die Asylgesuche folgerichtig abgewiesen. Zur Vermeidung von Wiederholun- gen kann auf E. 5.2 und 5.3. hiervor – mit nachfolgenden Ergänzungen –</w:t>
      </w:r>
    </w:p>
    <w:p>
      <w:r>
        <w:t>E-2466/2022 Seite 12 verwiesen werden. Die Ausführungen auf Beschwerdeebene führen zu kei- ner anderen Betrachtungsweise.</w:t>
      </w:r>
    </w:p>
    <w:p>
      <w:r>
        <w:rPr>
          <w:b/>
        </w:rPr>
        <w:t>E. 7.2</w:t>
      </w:r>
    </w:p>
    <w:p>
      <w:r>
        <w:t>Das SEM hat sich bei der Prüfung der Flüchtlingseigenschaft und der Asylgewährung, welche als einzige noch Gegenstand des Beschwerdever- fahrens sind, aufgrund der fehlenden Asylrelevanz nicht näher mit der Frage der Glaubhaftigkeit befasst. Der Vollständigkeit halber weist das Gericht darauf hin, dass jedoch stel- lenweise durchaus berechtigte Zweifel an der Glaubhaftigkeit der Sachvor- bringen angebracht werden könnten. In diesem Licht erscheint zunächst die behauptete häusliche Gewalt, deren Schilderung stellenweise wenig lebensnahe Elemente enthält (insbesondere das Verhalten der Beschwer- deführerin, sich ohne erkennbares Abhängigkeitsverhältnisses immer wie- der auf ihren Partner einzulassen), als zweifelhaft. Ferner ist auch darauf hinzuweisen, dass die Beschwerdeführerin trotz geltend gemachter Anzei- geerstattung bei der Polizei und angeblichem Spitalaufenthalt, keinerlei diesbezüglichen Beweismittel eingereicht hat. Soweit die Beschwerdefüh- rerin ein offenkundig gefälschtes Identitätsdokument eingereicht hat, so be- lastet dies letztlich auch ihre persönliche Glaubwürdigkeit. In Bezug auf die angeblich in Italien erlebte Zwangsprostitution fällt ferner auf, dass die entsprechenden Schilderungen oftmals schemenhaft und ste- reotyp ausgefallen sind. Soweit die Beschwerdeführerin die involvierten Personen generell als «weisse Männer» beschreibt, erscheint auch dies auffallend unsubstanziiert. Da die Einschätzung der Vorinstanz hinsichtlich der fehlenden Asylrele- vanz jedoch im Ergebnis ohnehin zu bestätigen ist, bedarf die Frage der Glaubhaftigkeit keiner abschliessender Beurteilung.</w:t>
      </w:r>
    </w:p>
    <w:p>
      <w:r>
        <w:rPr>
          <w:b/>
        </w:rPr>
        <w:t>E. 7.3</w:t>
      </w:r>
    </w:p>
    <w:p>
      <w:r>
        <w:t>Entsprechend Lehre und Praxis ist für die Anerkennung der Flüchtlings- eigenschaft erforderlich, dass die asylsuchende Person ernsthafte Nach- 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Geht die Verfolgung von nichtstaatlichen Akteuren aus, ist zu prüfen, ob sie staatlichen Schutz be- anspruchen kann (vgl. BVGE 2008/12 E. 5., 2010/57 E. 2).</w:t>
      </w:r>
    </w:p>
    <w:p>
      <w:r>
        <w:t>E-2466/2022 Seite 13</w:t>
      </w:r>
    </w:p>
    <w:p>
      <w:r>
        <w:rPr>
          <w:b/>
        </w:rPr>
        <w:t>E. 7.4</w:t>
      </w:r>
    </w:p>
    <w:p>
      <w:r>
        <w:t>Bei der Prüfung der Asylrelevanz von häuslicher Gewalt ist daher vorab die Frage der Schutzgewährung zu prüfen. Mit der Vorinstanz ist festzustellen, dass der Beschwerdeführerin der Zu- gang zum Schutzsystem gewährt wurde. Die Polizei in Kambala hat nach eigenen Angaben der Beschwerdeführerin deren Anzeige aufgenommen und danach den Kindsvater auch telefonisch aufgeboten zur Polizeistation zu kommen. Ferner wurde ihr angeboten, sich wieder zu melden, wenn sie ihn wiedersehen würde. Von diesem Angebot machte sie jedoch keinen Gebrauch. Obwohl sie über seinen Aufenthalt Kenntnis gehabt hat, hat sie diese Informationen der Polizei nicht mitgeteilt. Ihre simple Erklärung hier- für, dass man in Uganda nicht ständig mit demselben Problem zur Wache gehen könne, ist offenkundig nicht geeignet, einen allfälligen Mangel an Schutzwillen der ugandischen Behörden zu begründen. So ist davon aus- zugehen, dass eine Person, die effektiv massive Probleme mit einer Dritt- person hätte, sicherlich die zur Verfügung stehenden Möglichkeiten aus- schöpfen und wiederholt hierzu die Polizei oder andere Institutionen aufsu- chen würde; dies insbesondere, wenn wie in casu ihr dies ausdrücklich an- geboten wurde. Von einer rechtsrelevanten Passivität der Behörden kann vor diesem Hintergrund daher keine Rede sein. Bei dieser Sachlage hat das SEM die behauptete häusliche Gewalt (unab- hängig von deren Glaubhaftigkeit) zu Recht als nicht asylrelevant erachtet.</w:t>
      </w:r>
    </w:p>
    <w:p>
      <w:r>
        <w:rPr>
          <w:b/>
        </w:rPr>
        <w:t>E. 7.5</w:t>
      </w:r>
    </w:p>
    <w:p>
      <w:r>
        <w:t>Hinsichtlich der geltend gemachten Zwangsprostitution ist nachfolgend auf die einschlägige Rechtsprechung zu verweisen. Zwangsprostitution und damit zusammenhängende Retorsionsmassnah- men im Falle einer Widersetzung knüpfen grundsätzlich nicht an ein flücht- lingsrechtliches Merkmal an. Vielmehr handelt es sich dabei um ein aus- schliesslich gemeinrechtlich motiviertes Verbrechen ohne asylrelevantes Motiv (vgl. dazu die Urteile des BVGer D-1362/2022 vom 4. Juli 2022, E. 7.3; D-2759/2018 vom 2. Juli 2018 S. 6 f; E-7609/2015 vom 24. Februar 2016 E. 5.4; D-1683/2014 vom 12. August 2014 E. 6.2; D-5017/2011 vom 20. September 2011 S. 7). Das Gericht sieht auch in Anbetracht der Aus- führungen in der Beschwerdeschrift keine Gründe, auf diese Praxis zurück- zukommen. Im Weiteren ist der Verweis der Beschwerdeführenden auf die Rechtspraxis anderer europäischer Länder unbehelflich. Ihre Vorbringen sind nicht geeignet, die Flüchtlingseigenschaft zu begründen.</w:t>
      </w:r>
    </w:p>
    <w:p>
      <w:r>
        <w:t>E-2466/2022 Seite 14 Einer möglichen Gefährdung ist daher grundsätzlich nur im Rahmen der – vorliegend nicht zu prüfenden – Wegweisungsvollzugshindernisse, insbe- sondere nach Art. 3 und 4 EMRK Rechnung zu tragen. Wie bereits er- wähnt, hat das SEM nicht ausgeschlossen, dass Uganda keine tatsächlich ausreichenden Schutzmassnahmen von Opfer von Menschenhandel habe und die Beschwerdeführerin daher wegen Unzulässigkeit des Wegwei- sungsvollzugs vorläufig aufgenommen, weshalb sich die Würdigung weite- rer (nicht asylrelevanter) Vorbringen hierzu erübrigt (vgl. hierzu beispiels- weise Urteil BVGer D-1362/2022 vom 4. Juli 2022, E. 7.3). Ergänzend ist darauf hinzuweisen, dass sich die angegebene Zwangspros- titution ohnehin nicht im Heimatland der Beschwerdeführerin, sondern in Italien ereignet hat. Auch in diesem Lichte ergeben sich keine Anzeichen auf eine asylrelevante Bedrohung, im Falle einer – aufgrund der vorläufi- gen Aufnahme – hypothetischen Rückkehr der Beschwerdeführerin.</w:t>
      </w:r>
    </w:p>
    <w:p>
      <w:r>
        <w:rPr>
          <w:b/>
        </w:rPr>
        <w:t>E. 7.6</w:t>
      </w:r>
    </w:p>
    <w:p>
      <w:r>
        <w:t>Zusammenfassend ergibt sich, dass die Vorinstanz somit zu Recht die Flüchtlingseigenschaft der Beschwerdeführerin verneint und das Asylge- such folgerichtig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2009/50 E. 9, je m.w.H.). Der Vollzug der Weg- weisung wurde zugunsten einer vorläufigen Aufnahme ausgesetzt.</w:t>
      </w:r>
    </w:p>
    <w:p>
      <w:r>
        <w:rPr>
          <w:b/>
        </w:rPr>
        <w:t>E. 9</w:t>
      </w:r>
    </w:p>
    <w:p>
      <w:r>
        <w:t>Insgesamt ergibt sich, dass die angefochtene Verfügung Bundesrecht nicht verletzt und den rechtserheblichen Sachverhalt richtig sowie vollständig feststellt (Art. 106 Abs. 1 AsylG). Die Beschwerde ist abzuweisen.</w:t>
      </w:r>
    </w:p>
    <w:p>
      <w:r>
        <w:rPr>
          <w:b/>
        </w:rPr>
        <w:t>E. 10</w:t>
      </w:r>
    </w:p>
    <w:p>
      <w:r>
        <w:t>Die mit der Beschwerde gestellten Gesuche um Gewährung der unentgelt- lichen Prozessführung und amtlichen Rechtsverbeiständung sind – unge- achtet des nachträglichen Nachweises der Bedürftigkeit – wegen Aus-</w:t>
      </w:r>
    </w:p>
    <w:p>
      <w:r>
        <w:t>E-2466/2022 Seite 15 sichtslosigkeit der Rechtsbegehren abzuweisen. Die Kosten des Verfah- rens sind folglich der Beschwerdeführerin aufzuerlegen (Art. 63 Abs. 1 VwVG) und auf insgesamt Fr. 750.– festzusetzen (Art. 1–3 des Regle- ments vom 21. Februar 2008 über die Kosten und Entschädigungen vor dem Bundesverwaltungsgericht [VGKE, SR 173.320.2]).</w:t>
      </w:r>
    </w:p>
    <w:p>
      <w:r>
        <w:t>E-2466/2022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