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E-2463/2009 vom 20. Februar 2012</w:t>
      </w:r>
    </w:p>
    <w:p>
      <w:r>
        <w:t>Bundesverwaltungsgericht, 2012-02-20, DE</w:t>
      </w:r>
    </w:p>
    <w:p>
      <w:r>
        <w:rPr>
          <w:b/>
        </w:rPr>
        <w:t xml:space="preserve">Quelle: </w:t>
      </w:r>
      <w:r>
        <w:t>https://mcp.opencaselaw.ch/entscheid/bvger_E-2463_2009</w:t>
      </w:r>
    </w:p>
    <w:p>
      <w:r>
        <w:t>FR: TAF E-2463/2009 du 20 février 2012</w:t>
      </w:r>
    </w:p>
    <w:p>
      <w:r>
        <w:t>IT: TAF E-2463/2009 del 20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stellte das Bundesamt fest, der Experte der Fachstelle LINGUA sei im Rahmen der Herkunftsanalyse zum Schluss gekommen, der Beschwerdeführer sei nicht, wie von ihm behauptet, in der Region Mosul, sondern im kurdischen Nordirak sozialisiert worden. Die Erklärungen des Beschwerdeführers in seiner diesbezüglichen mündlichen Stellungnahme sowie die lediglich in Kopie eingereichte Identitätskarte vermöchten diese Ablärungsergebnisse nicht umzustossen. Folglich seien auch seine Vorbringen unglaubhaft, wonach er im August 2008 von arabisch sprechenden Terroristen in seinem Dorf verfolgt worden sei; dies umso mehr, als die diesbezüglichen Ausführungen in mehreren Punkten der allgemeinen Erfahrung und der Logik des Handelns zuwiderlaufen würden und nicht nachvollziehbar seien. Vor diesem Hintergrund kam die Vorinstanz zum Schluss, der Beschwerdeführer stamme entgegen seinen Angaben aus dem kurdischen Teil des Nordiraks, höchstwahrscheinlich aus Dohuk, und seine Asylgründe seien insgesamt als frei erfunden und damit als unglaubhaft zu beurteilen.</w:t>
      </w:r>
    </w:p>
    <w:p>
      <w:r>
        <w:rPr>
          <w:b/>
        </w:rPr>
        <w:t>E. 4.2</w:t>
      </w:r>
    </w:p>
    <w:p>
      <w:r>
        <w:t>Der Beschwerdeführer hält in seiner Beschwerde an der Glaubhaftigkeit seiner Vorbringen fest. Er habe sowohl hinsichtlich seiner Herkunft aus der Provinz Mosul als auch seiner Asylgründe die Wahrheit gesagt und halte an seinen Fluchtgründen fest.</w:t>
      </w:r>
    </w:p>
    <w:p>
      <w:r>
        <w:rPr>
          <w:b/>
        </w:rPr>
        <w:t>E. 5.1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Entscheidungen und Mitteilungen der Schweizerischen Asylrekurskommission [EMARK] 2004 Nr. 1 E. 5 S. 4 ff.).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EMARK 2004 Nr. 1 E. 5 S. 4 ff., mit weiteren Hinweisen, EMARK 1993 Nr. 21 S. 134 ff., EMARK 1993 Nr. 11 S. 67 ff.).</w:t>
      </w:r>
    </w:p>
    <w:p>
      <w:r>
        <w:rPr>
          <w:b/>
        </w:rPr>
        <w:t>E. 5.2.1</w:t>
      </w:r>
    </w:p>
    <w:p>
      <w:r>
        <w:t>Das Bundesverwaltungsgericht anerkennt LINGUA-Analysen des BFM nicht als Sachverständigengutachten (Art. 12 Bst. e VwVG; Art. 57 ff. des Bundesgesetzes vom 4. Dezember 1947 über den Bundeszivilprozess [BZP, SR 273] i.V.m. Art. 19 VwVG), sondern als schriftliche Auskünfte einer Drittperson (Art. 12 Bst. c VwVG; Art. 49 BZP i.V.m. Art. 19 VwVG), misst ihnen indessen sofern bestimmte Anforderungen an die fachliche Qualifikation, Objektivität und Neutralität des Experten wie auch an die inhaltliche Schlüssigkeit und Nachvollziehbarkeit der Analyse erfüllt sind erhöhten Beweiswert zu. Demnach sind LINGUA-Analysen grundsätzlich geeignet, den Nachweis einer Herkunftstäuschung zu erbringen (vgl. zum Ganzen etwa das Urteil E 1833/2010 vom 16. November 2011 mit Hinweisen auf die publizierte Praxis der ARK).</w:t>
      </w:r>
    </w:p>
    <w:p>
      <w:r>
        <w:rPr>
          <w:b/>
        </w:rPr>
        <w:t>E. 5.2.2</w:t>
      </w:r>
    </w:p>
    <w:p>
      <w:r>
        <w:t>Die LINGUA-Analyse vom 17. Oktober 2009 ist fundiert und differenziert begründet. Sie gibt zu keinen Beanstandungen Anlass. Der eingesetzte Gutachter verfügt gemäss Akten über die erforderlichen Fachkenntnisse; es sind keine Gründe ersichtlich, an seiner Qualifikation oder der Richtigkeit seiner Analyse zu zweifeln. Das Bundesverwaltungsgericht teilt die vom BFM vertretene Auffassung, dass vom Beschwerdeführer auch unter Berücksichtigung seines jungen Alters und der angeblich fehlenden Schulbildung gewisse Grundkenntnisse seines angeblichen Herkunftsorts - beispielsweise die Namen der umliegenden Dörfer oder die ethnische Zusammensetzung der Dorfbevölkerung - hätte erwartet werden können. Der Beschwerdeführer vermochte der vom Gutachter getroffenen Einschätzung weder im Rahmen des rechtlichen Gehörs (vgl. Protokoll der Anhörung zu den Asylgründen S. 5 f.) noch in seiner Beschwerdeeingabe stichhaltige Argumente entgegenzuhalten. Er hat sich im Wesentlichen auf das Festhalten an der von ihm angegebenen Herkunft beschränkt, ohne dazu substanzielle Argumente anzubringen und/oder beweisbildende Unterlagen vorzulegen. Im Rahmen des rechtlichen Gehörs hatte er zwar noch die Beschaffung seines Original-Identitätsausweises in Aussicht gestellt (vgl. a.a.O. S. 6), diesen jedoch bezeichnenderweise ohne jede Erklärung bis heute nicht eingereicht. Nach dem Gesagten hat sich die Vorinstanz zu Recht auf das Ergebnis der LINGUA-Analyse abgestützt, wonach der Beschwerdeführer entgegen seinen Angaben nicht in Mosul, sondern im kurdischen Nordteil des Landes, höchstwahrscheinlich in der Provinz Dohuk, sozialisiert wurde.</w:t>
      </w:r>
    </w:p>
    <w:p>
      <w:r>
        <w:rPr>
          <w:b/>
        </w:rPr>
        <w:t>E. 5.2.3</w:t>
      </w:r>
    </w:p>
    <w:p>
      <w:r>
        <w:t>Nach dem Gesagten ist der vom Beschwerdeführer geltend gemachten Gefährdung durch Arabisch sprechende Terroristen in seinem angeblichen Herkunftsort die Glaubhaftigkeitsgrundlage entzogen. Diese Einschätzung wird dadurch gestützt, dass die Asylvorbringen des Beschwerdeführers in ihrer Gesamtheit als lebensfremd, unlogisch und unsubstanziiert zu beurteilen sind. Es kann hierzu auf die zutreffenden Erwägungen in der angefochtenen Verfügung verwiesen werden. Der Beschwerdeführer vermochte die offenkundigen Ungereimtheiten weder anlässlich der Anhörung vom 4. März 2009 noch in der Beschwerdeeingabe aufzulösen.</w:t>
      </w:r>
    </w:p>
    <w:p>
      <w:r>
        <w:rPr>
          <w:b/>
        </w:rPr>
        <w:t>E. 5.3</w:t>
      </w:r>
    </w:p>
    <w:p>
      <w:r>
        <w:t>Zusammenfassend ist festzuhalten, dass es dem Beschwerde­füh­rer nicht gelungen ist, eine im Sinn von Art. 3 AsylG asylrelevante Verfolgungsgefahr nachzu­weisen oder glaubhaft darzutun. Die Vorinstanz hat sein Asylgesuch demzufolge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hat in der angefochtenen Verfügung zutreffend darauf hingewiesen,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kurdischen Nordirak, woher der Beschwerdeführer nach dem oben Gesagten stammt, lässt den Wegweisungsvollzug zum heutigen Zeitpunkt nicht als unzulässig erscheinen (vgl. BVGE 2008/4 E. 6.2 ff.).</w:t>
      </w:r>
    </w:p>
    <w:p>
      <w:r>
        <w:rPr>
          <w:b/>
        </w:rPr>
        <w:t>E. 7.2.3</w:t>
      </w:r>
    </w:p>
    <w:p>
      <w:r>
        <w:t>Der Vollzug der Wegweisung erweist sich im Sinn der asyl- wie auch der völkerrechtlichen Bestimmungen als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Wie oben ausgeführt, ist von einer Herkunft des Beschwerdeführers aus der Provinz Dohuk im Nordirak auszugehen.</w:t>
      </w:r>
    </w:p>
    <w:p>
      <w:r>
        <w:rPr>
          <w:b/>
        </w:rPr>
        <w:t>E. 7.3.3</w:t>
      </w:r>
    </w:p>
    <w:p>
      <w:r>
        <w:t>Das Bundesverwaltungsgericht geht in konstanter Praxis davon aus, dass in den kurdisch-nordirakischen Provinzen Dohuk, Suleimaniya und Erbil keine Situation allgemeiner Gewalt herrscht, und die dortige politische Lage nicht dermassen angespannt ist, dass eine Rückführung dorthin als generell unzumutbar betrachtet werden müsste. Die Anordnung des Wegweisungsvollzugs ist deshalb für alleinstehende, gesunde und junge kurdische Männer, die ursprünglich aus einer der drei Provinzen stammen oder eine längere Zeit dort gelebt haben und dort nach wie vor über ein soziales Netz oder Parteibeziehungen verfügen, grundsätzlich zumutbar (vgl. das Grundsatzurteil BVGE 2008/5 E. 7.5 und insbesondere E. 7.5.8 S. 65 ff.). Die Sicherheitslage in den drei kurdischen Provinzen hat sich seit Publikation des erwähnten Urteils nicht verschlechtert; in Berichten von nationalen und internationalen Regierungs- und Nichtregierungsorganisa­tionen wird eine grundsätzlich insgesamt stabile Situation beschrieben (vgl. etwa UK Home Office / Border Agency, Operational Guidance Note Iraq, November 2011, Ziff. 2.3.10 ff., mit weiteren Hinweisen).</w:t>
      </w:r>
    </w:p>
    <w:p>
      <w:r>
        <w:rPr>
          <w:b/>
        </w:rPr>
        <w:t>E. 7.3.4</w:t>
      </w:r>
    </w:p>
    <w:p>
      <w:r>
        <w:t>Beim Beschwerdeführer handelt es sich um einen jungen und gemäss Akten gesunden Mann ohne familiäre Verpflichtungen. Nachdem erstellt ist, dass der Beschwerdeführer unwahre Angaben zu seinem Herkunftsort gemacht hat, und seine Identität angesichts des nicht beweiskräftigen eingereichten Identitätsdokuments nicht erstellt ist, sind die vor-instanzlichen Zweifel an seinen Aussagen zum Familiennetz berechtigt. Im Übrigen ist darauf hinzuweisen, dass wirtschaftliche Schwierigkeiten, von welchen die vor Ort ansässige Bevölkerung generell betroffen ist, für sich allein praxisgemäss keine konkrete Gefährdung im Sinn von Art. 83 Abs. 4 AuG darstellen (vgl. EMARK 2003 Nr. 24 E. 5e S. 159 mit weiteren Hinweisen).</w:t>
      </w:r>
    </w:p>
    <w:p>
      <w:r>
        <w:rPr>
          <w:b/>
        </w:rPr>
        <w:t>E. 7.3.5</w:t>
      </w:r>
    </w:p>
    <w:p>
      <w:r>
        <w:t>Unter Berücksichtigung der konkreten Verfahrensumstände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dem Beschwerdeführer die Verfahrenskosten aufzuerlegen (Art. 63 Abs. 1 VwVG). Diese sind jedoch vorliegend in Gutheissung des Gesuchs um Gewährung der unentgeltlichen Rechtspflege im Sinn von Art. 65 Abs. 1 VwVG zu erlassen, nachdem die prozessuale Bedürftigkeit des Beschwerdeführers belegt ist und seine Rechtsbegehren sich nicht als aussichtslos im Sinn von Art. 65 Abs. 1 VwVG herausgestellt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