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E-2458/2012 vom 30. Mai 2012</w:t>
      </w:r>
    </w:p>
    <w:p>
      <w:r>
        <w:t>Bundesverwaltungsgericht, 2012-05-30, DE</w:t>
      </w:r>
    </w:p>
    <w:p>
      <w:r>
        <w:rPr>
          <w:b/>
        </w:rPr>
        <w:t xml:space="preserve">Quelle: </w:t>
      </w:r>
      <w:r>
        <w:t>https://mcp.opencaselaw.ch/entscheid/bvger_E-2458_2012</w:t>
      </w:r>
    </w:p>
    <w:p>
      <w:r>
        <w:t>FR: TAF E-2458/2012 du 30 mai 2012</w:t>
      </w:r>
    </w:p>
    <w:p>
      <w:r>
        <w:t>IT: TAF E-2458/2012 del 30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Aufhebungen beziehungsweise Änderungen. Sie sind daher zur Einreichung der Beschwerden legitimiert (Art. 108 AsylG sowie Art. 105 AsylG i.V.m. Art. 37 VGG und Art. 48 Abs. 1 und Art. 52 VwVG). Auf diese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Aufgrund des engen persönlichen und sachlichen Zusammenhangs sowie aus prozessökonomischen Gründen werden die drei identischen Beschwerden vereinigt; über diese wird in einem Urteil befunden. 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 5.2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hält zur Begründung ihrer ablehnenden Asylentscheide im Wesentlichen fest, die Vorbringen der Beschwerdeführenden würden den Anforderungen an die Glaubhaftigkeit nicht standhalten. Betreffend das angebliche Vorgehen der Polizei argumentiert sie, es sei realitätsfremd, dass diese die geschilderten Belästigungen über Jahre hinweg und derart intensiv aufrechterhalten hätten, zumal den Beschwerdeführenden nie etwas habe nachgewiesen werden können. Ebenfalls auszuschliessen sei, dass die Beschwerdeführenden allein wegen ihrer ethnischen Zugehörigkeit derart verfolgt würden. Weiter seien in ihren Angaben diverse Ungereimtheiten und Widersprüche zu erkennen. Insbesondere betreffend der Häufigkeit der Durchsuchungen und die Festnahmen durch die Polizei hätten sie sich diametral widersprochen. Während die Beschwerdeführenden 1 und 2 von drei- bis viermal pro Monat gesprochen hätten, habe der Beschwerdeführer 4 angegeben, ein- bis dreimal pro Woche durch die Polizei aufgesucht worden zu sein. Er habe seine Aussagen anlässlich der Rückübersetzung des Anhörungsprotokolls zwar geändert; dies sei jedoch im Anschluss an die Pause erfolgt, in welcher er sich mit seinen bereits angehörten Eltern abgesprochen habe. Die Beschwerdeführerin 5 habe sich selbst widersprochen, indem sie angegeben habe, seit August 2011 sechs- bis siebenmal auf den Polizeiposten gebracht worden zu sein, später aber von zwei- bis dreimal pro Monat gesprochen habe. Gemäss Aussage des Beschwerdeführers 1 hätten die Befragungen durch die Polizei auf verschiedenen Polizeiposten stattgefunden; die anderen Beschwerdeführenden haben geltend gemacht, stets auf den Polizeiposten in J._______ gebracht worden zu sein. Überdies hält die Vorinstanz fest, die Angaben der Beschwerdeführenden 3 bis 5 seien pauschal und stereotyp ausgefallen, weshalb davon auszugehen sei, dass diese die Polizeieinsätze nicht wirklich erlebt hätten. Auch die eingereichten Polizeivorladungen vermöchten an dieser Einschätzung nichts zu ändern, da sich aus diesen keinerlei Hinweise ergeben würden, dass die Polizei unrechtmässig vorgegangen sei. Schliesslich bestätige der Umstand, dass die Beschwerdeführenden 1, 2, 4 freiwillig von Schweden nach Serbien zurückgekehrt seien die Unglaubhaftigkeit der Asylvorbringen, da eine freiwillige Rückkehr in den Verfolgerstaat dem Verhalten tatsächlich Verfolgter widersprechen würde.</w:t>
      </w:r>
    </w:p>
    <w:p>
      <w:r>
        <w:rPr>
          <w:b/>
        </w:rPr>
        <w:t>E. 6.2</w:t>
      </w:r>
    </w:p>
    <w:p>
      <w:r>
        <w:t>In ihren kurzen Rechtsmitteleingaben wiederholen die Beschwerdeführenden ihre bereits bei der Vorinstanz gemachten Aussagen und ergänzen, dass sich der gesundheitliche Zustand der Beschwerdeführerin 2 zwischenzeitlich derart verschlechtert habe, dass sie permanenter medizinischer Behandlung bedürfe.</w:t>
      </w:r>
    </w:p>
    <w:p>
      <w:r>
        <w:rPr>
          <w:b/>
        </w:rPr>
        <w:t>E. 6.3</w:t>
      </w:r>
    </w:p>
    <w:p>
      <w:r>
        <w:t>In Übereinstimmung mit der Vorinstanz gelangt das Bundesverwaltungsgericht zum Schluss, dass die Schilderungen der Beschwerdeführenden betreffend den Übergriffen und Belästigungen durch die Polizei als unglaubhaft zu beurteilen sind. Die Vorbringen sind zu pauschal und wenig substanziiert ausgefallen. Selbst auf Nachfrage hin gelang es ihnen nicht, ihre Erlebnisse detailliert wiederzugeben, was ein deutliches Indiz dafür ist, dass sie diese Übergriffe nicht persönlich erlebt haben. Durch die erheblichen Widersprüche zwischen den Aussagen der einzelnen Beschwerdeführenden und dem geltend gemachten realitätsfremden Verhalten der Polizei wird dieser Verdacht weiter erhärtet. Die Beschwerdeführenden konnten weiter nicht glaubhaft darlegen, weshalb sie, von einer (erfolgreichen) Ausnahme abgesehen, keinen Anwalt eingeschaltet oder um behördliche Hilfe nachgesucht haben. Aufgrund der Aktenlage erübrigt es sich auf die weiteren Vorbringen und die Beweismittel der Beschwerdeführenden einzugehen. Zwecks Vermeidung weiterer Wiederholungen kann auf die einlässlichen Erwägungen der Vorinstanz in ihren Verfügungen vom 13. April 2012 sowie die vorstehende Zusammenfassung derselben verwiesen werden.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 m.w.H.).</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nach Serbien ist demnach unter dem Aspekt von Art. 5 AsylG rechtmässig. Sodann ergeben sich weder aus den Aussagen der Beschwerdeführenden noch aus den Akten Anhaltspunkte dafür, dass sie für den Fall einer Ausschaffung nach Serbien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zur Zeit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8.5 Angesichts der heutigen Lage in Serbien ist gemäss konstanter Praxis nicht von einer Situation allgemeiner Gewalt oder kriegerischen respektive bürgerkriegsähnlichen Verhältnissen zu sprechen. Zur Lage der Roma in Serbien hat sich das Bundesverwaltungsgericht in einem publizierten Urteil vom 18. September 2009 ausführlich geäussert (vgl. BVGE 2009/51). Es stellte unter anderem fest, aufgrund ihrer ethnischen Zugehörigkeit seien Roma generell unterschiedlichen Schikanen und Diskriminierungen ausgesetzt und ihre Lage in wirtschaftlicher und sozialer Sicht sei allgemein schwierig. Auch wenn Übergriffe von Privatpersonen auf Angehörige der Roma und teilweise behördliche Schikanen sowie Diskriminierungen nicht völlig ausgeschlossen werden können, erreichen diese jedoch im Allgemeinen nicht ein Ausmass, welches einen Wegweisungsvollzug als unzumutbar erscheinen lässt (vgl. statt vieler Urteil des Bundesverwaltungsgerichts D-5714/2009 vom 13. November 2009). Im Rahmen der Anhörungen und speziell auf Beschwerdeebene hat die Beschwerdeführerin 2 gesundheitliche (vor allem psychische) Probleme geltend gemacht. Aufgrund der weder näher substanziierten noch mittels Arztzeugnissen belegten psychischen Schwierigkeiten ergeben sind keine Hinweise, wonach diese derart gravierend wären, dass sie einem Wegweisungsvollzug entgegenstehen würden, zumal Serbien über eine ausreichende medizinische Infrastruktur verfügt, welche die Behandlungen von psychischen Krankheiten zulässt. Der Beschwerdeführer 1 hat vor der Ausreise den Lebensunterhalt der Familie mit Autohandel und als Marktfahrer finanziert. Es ist ihm zuzumuten, nach einer Rückkehr diese Tätigkeiten wieder aufzunehmen. Die beiden jungen Beschwerdeführenden 3, 4 können in Serbien ebenfalls eine Erwerbstätigkeit aufnehmen und dadurch zumindest ergänzend zum Lebensunterhalt der Familie beitragen. Ferner sind die Beschwerdeführenden gemäss Akten Eigentümer eines Hauses an ihrem letzten Wohnort, G._______. Vollständigkeitshalber wird darauf hingewiesen, dass die Beschwerdeführerin 5 noch minderjährig ist. Seit (...) 2012 ist sie mit dem Beschwerdeführer 4 verheiratet und reiste auch in dessen Begleitung in die Schweiz ein. Es ergeben sich somit keine Hinweise, wonach das Übereinkommen vom 20. November 1989 über die Rechte des Kindes (KRK, SR 0.107) einem Wegweisungsvollzug entgegenstehen würde. Nach dem Gesagten erweist sich der Vollzug der Wegweisung als zumutbar.</w:t>
      </w:r>
    </w:p>
    <w:p>
      <w:r>
        <w:rPr>
          <w:b/>
        </w:rPr>
        <w:t>E. 8.6</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als möglich zu bezeichnen ist (Art. 83 Abs. 2 AuG).</w:t>
      </w:r>
    </w:p>
    <w:p>
      <w:r>
        <w:rPr>
          <w:b/>
        </w:rPr>
        <w:t>E. 8.7</w:t>
      </w:r>
    </w:p>
    <w:p>
      <w:r>
        <w:t>Zusammenfassend hat die Vorinstanz den Wegweisungsvollzug zu Recht als zulässig, zumutbar und möglich erachtet. Eine Anordnung der vorläufigen Aufnahme fällt ausser Betracht (Art. 83 Abs. 1 - 4 AuG).</w:t>
      </w:r>
    </w:p>
    <w:p>
      <w:r>
        <w:rPr>
          <w:b/>
        </w:rPr>
        <w:t>E. 9</w:t>
      </w:r>
    </w:p>
    <w:p>
      <w:r>
        <w:t>Aus diesen Erwägungen ergibt sich, dass die angefochtenen Verfügungen Bundesrecht nicht verletzen, den rechtserheblichen Sachverhalt richtig und vollständig feststellen und angemessen sind (Art. 106 AsylG). Die Beschwerden sind nach dem Gesagten abzuweisen.</w:t>
      </w:r>
    </w:p>
    <w:p>
      <w:r>
        <w:rPr>
          <w:b/>
        </w:rPr>
        <w:t>E. 10</w:t>
      </w:r>
    </w:p>
    <w:p>
      <w:r>
        <w:t>Bei diesem Ausgang des Verfahrens sind die Kosten den Beschwerdeführenden aufzuerlegen (Art. 63 Abs. 1 VwVG). Gestützt auf die Verfahrensvereinigung sind diese leicht zu erhöhen und auf insgesamt Fr. 1'000.-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