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E-2454/2016 vom 7. Juni 2016</w:t>
      </w:r>
    </w:p>
    <w:p>
      <w:r>
        <w:t>Bundesverwaltungsgericht, 2016-06-07, DE</w:t>
      </w:r>
    </w:p>
    <w:p>
      <w:r>
        <w:rPr>
          <w:b/>
        </w:rPr>
        <w:t xml:space="preserve">Quelle: </w:t>
      </w:r>
      <w:r>
        <w:t>https://mcp.opencaselaw.ch/entscheid/bvger_E-2454_2016</w:t>
      </w:r>
    </w:p>
    <w:p>
      <w:r>
        <w:t>FR: TAF E-2454/2016 du 7 juin 2016</w:t>
      </w:r>
    </w:p>
    <w:p>
      <w:r>
        <w:t>IT: TAF E-2454/2016 del 7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Gestützt auf Art. 33a Abs. 2 VwVG wird das Verfahren in deutscher Sprache 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seien betreffend die Zeitdifferenz zwischen Erhalt der Militärvorladung und Erhalt des Haftbefehls, betreffend das zuständige Rekrutierungsbüro, ferner bezüglich des Vorladungszwecks und der gesetzten Handlungsfrist sowie hinsichtlich seines Aufenthaltsortes im Zeitpunkt der Zustellung der Vorladung Widersprüche in wesentlichen Punkten aufgetreten. Auch sei nicht nachvollziehbar, wie die illegale Ausreise in die Türkei innert eines Abends hätte in die Wege geleitet werden können. An diesen Erkenntnissen vermöchten die vorgelegten Dokumente nichts zu ändern. Im Speziellen handle es sich beim vorgelegten Haftbefehl um eine Fälschung. Das ihm zur Kenntnis gebrachte Fälschungsmerkmal habe der Beschwerdeführer im Rahmen des rechtlichen Gehörs nicht überzeugend erklären können. Der Fälschungsbefund stütze die gewonnenen Unglaubhaftigkeitserkenntnisse und das Dokument sei als Fälschung einzuziehen. Angesichts der Unglaubhaftigkeit der Vorbringen erübrige sich eine Prüfung ihrer Asylrelevanz.</w:t>
      </w:r>
    </w:p>
    <w:p>
      <w:r>
        <w:rPr>
          <w:b/>
        </w:rPr>
        <w:t>E. 5.2</w:t>
      </w:r>
    </w:p>
    <w:p>
      <w:r>
        <w:t>In seiner Rechtsmitteleingabe macht der Beschwerdeführer geltend, seine Ansprüche auf Akteneinsicht und rechtliches Gehör seien dadurch verletzt, dass der zur Einsicht gegebene Beweismittelumschlag nicht paginiert sei, es sich dabei vermutlich um die Akte A1 handle und sich damit gleichsam die Frage stelle, um welches Beweismittel es sich denn bei der am 18. Februar 2016 paginierten Akte A13 - ebenfalls bezeichnet mit "moyens de preuve" - handle. In dieses Aktenstück habe er nämlich keine Einsicht erhalten. Das Recht auf Akteneinsicht beinhalte praxisgemäss eine übersichtlich geordnete Führung, Ablage, Paginierung und Registrierung der vollständigen Akten im Aktenverzeichnis, welche Anforderungen vorliegend nicht erfüllt seien. Sein Anspruch auf Akteneinsicht sei ferner dadurch verletzt, dass ihm die Einsicht in den als interne Notiz bezeichneten Dokumentenprüfungsbericht (Akte A15) verweigert worden sei. Die Gewährung des rechtlichen Gehörs genüge nicht, da er nicht beurteilen könne, ob er sich umfassend zu den angeblichen Fälschungsmerkmalen habe äussern können; zudem sei die Qualifikation der das Dokument prüfenden Person nicht ersichtlich. Das SEM wäre gehalten gewesen, das Dokument zumindest unter Einschwärzung der sensiblen Stellen offenzulegen. Weiter sei die Aktenführungspflicht dadurch verletzt, dass die von ihm abgegebene Identitätskarte nicht auf dem Beweismittelumschlag vermerkt und ihm wiederum nicht zur Einsicht gegeben worden sei. Es handle sich dabei um ein Beweismittel, welches somit ordnungsgemäss erfasst werden müsse. Diese Verletzungen des rechtlichen Gehörs müssten praxisgemäss zwingend die Aufhebung der angefochtenen Verfügung zur Folge haben. Sodann habe das SEM mehrere wesentliche Vorbringen sachverhaltlich nicht erfasst, so unter anderem den konkreten Verweis auf die Anwesenheit zweier Brüder, deren Asylverfahrensakten das SEM im Hinblick auf das allfällige Vorliegen einer Reflexverfolgung hätte beiziehen müssen. Die weitere Beschwerdeargumentation richtet sich gegen die vorinstanzlich erkannte Fälschungserkenntnis betreffend den Haftbefehl und gegen die weiteren vorinstanzlichen Unglaubhaftigkeitselemente und befasst sich mit der aus Sicht des Beschwerdeführers klar zu bejahenden Frage der flüchtlingsrechtlichen Beachtlichkeit der von ihm befürchteten Nachteile. Diesbezüglich kann angesichts des aus formellen Gründen erfolgenden Kassationsausganges dieses Beschwerdeverfahrens auf die Beschwerdeschrift verwiesen werden. Auch für den weiteren Inhalt der Beschwerde ist einstweilen auf die Akten zu verweisen, soweit darauf nicht in den nachfolgenden Erwägungen besonders eingegangen wird.</w:t>
      </w:r>
    </w:p>
    <w:p>
      <w:r>
        <w:rPr>
          <w:b/>
        </w:rPr>
        <w:t>E. 6.1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beschränken. Die genannten Grundsätze sind vorliegend in mehrfacher Hinsicht verletzt, wie sich aus nachfolgenden Erwägungen ergibt.</w:t>
      </w:r>
    </w:p>
    <w:p>
      <w:r>
        <w:rPr>
          <w:b/>
        </w:rPr>
        <w:t>E. 6.2</w:t>
      </w:r>
    </w:p>
    <w:p>
      <w:r>
        <w:t>Vorab zu prüfen ist die Rüge einer Verletzung des Anspruchs auf Akteneinsicht und der Aktenführungs- und Paginierungspflicht betreffend die Aktenstücke A1 und A13 und die vom Beschwerdeführer abgegebenen Beweismittel. Der Beschwerdeführer macht diesbezüglich geltend, seine Ansprüche auf Akteneinsicht und rechtliches Gehör seien dadurch verletzt, dass der zur Einsicht gegebene Beweismittelumschlag nicht paginiert sei, es sich dabei vermutlich um die Akte A1 handle und sich damit gleichsam die Frage stelle, um welches Beweismittel es sich somit bei der Akte A13 handle; in dieses Aktenstück habe er nämlich keine Einsicht erhalten. Beide Aktenstücke sind im Aktenverzeichnis mit "moyens de preuve" bezeichnet, wobei das Aktenstück A1 am 16. Juni 2015 paginiert wurde und das Aktenstück A13 am 18. Februar 2016. Beim Aktenstück A13 handelt es sich um den Beweismittelumschlag. Dieser ist zwar mit "A13" paginiert, jedoch liegt die Vermutung nahe, dass die Paginierung des Dokuments beim Kopieren für die Akteneinsicht aufgrund des grösseren Formats verloren gegangen und für den Beschwerdeführer daher auf der ihm zur Einsicht gegebenen Kopieversion nicht ersichtlich ist. Mit dieser mutmasslichen kopiertechnischen Unsorgfalt wäre noch keine Verletzung der Paginierungspflicht verbunden, sondern eine Richtigstellung würde genügen. Die beim Beschwerdeführer entstandene Verwirrung ist jedoch augenfällig insoweit nachvollziehbar, als zwei Aktenstücke mit "moyens de preuve" im Aktenverzeichnis erscheinen, beide im Übrigen mit dem für einen Editionsverzicht massgeblichen Code E ("der gesuchstellenden Person bekannte Akten). Davon befindet sich aber nur das Aktenstück A13 in den vorinstanzlichen Akten, wobei der Beschwerdeführer hier irrtümlich annimmt, es handle sich um das Aktenstück A1. Letzteres Aktenstück (A1) ist offensichtlich inexistent oder wurde vom SEM aus unerfindlichen Gründen aus den Akten entfernt. Das Aktenstück A1 ist somit weder für den Beschwerdeführer noch für das Bundesverwaltungsgericht bekannt. Ob es sich dabei um eine falsche Ablage, Führung, Paginierung oder Registrierung von Akten handelt, ist insoweit unwesentlich, als vorliegend mindestens eines der genannten Elemente unrichtiger Aktenführung gegeben ist, der Beschwerdeführer keine Einsicht in das Aktenstück A1 erhalten hat damit in jedem Fall das Akteneinsichtsrecht des Beschwerdeführers und sein Anspruch auf rechtliches Gehör verletzt sind. Erstaunen erweckt im Übrigen die Klassifizierung des Aktenstücks A13 mit Code E ("der gesuchstellenden Person bekannte Akte"), denn das Couvert war dem Beschwerdeführer bis zur Offenlegung mit Sicherheit nicht bekannt, da es vom SEM angefertigt wurde. Bekannt war ihm bestenfalls der Inhalt des Couverts in Gestalt des in Kopie und später als Original vorgelegten Haftbefehls. Die Codierung ist bei diesem Aktenstück immerhin deshalb nicht relevant, weil der Beschwerdeführer Einsicht in die Kopie des Beweismittelumschlags erhalten hat. Im Weiteren ist festzuhalten, dass die Vorinstanz Verweigerungen der Akteneinsicht mit der Begründung Code E zu unterlassen hat, sobald ein Rechtsvertreter - wie vorliegend - explizit Akteneinsicht in die selber eingereichten Beweismittel beantragt. Das SEM hat im Weiteren die Abgabe der Identitätskarte durch den Beschwerdeführer in der BzP (dort Ziff. 4.01) erfasst und das Dokument wurde in der Sichttasche des N-Dossiers abgelegt. Somit ist an sich weder die Ablage noch die Registrierung des Dokuments zu beanstanden. Der Beschwerdeführer rügt aber offensichtlich zurecht eine Verletzung des Akteneinsichtsrechts insoweit, als ihm die Identitätskarte ebenfalls nicht zur Einsicht gegeben wurde, obwohl er ausdrücklich darum ersuchte und hierauf einen uneingeschränkten Anspruch hat (vgl. Art. 27 Abs. 3 VwVG). Grund für diese Verletzung des Akteneinsichtsrecht ist wahrscheinlich die Praxis des SEM, Identitätsdokumente in der Sichttasche des N-Dossiers und nicht im Beweismittelumschlag abzulegen und dort zu vermerken. Diese Praxis ist nicht als solche bereits rechtswidrig. Würden aber Identitätsdokumente zusätzlich in Kopieform im Beweismittelumschlag abgelegt und dort der Ablageort des Originals vermerkt, wäre auch die Pflicht des SEM zur ordnungsgemässen Aktenführung, Paginierung und Aufnahme ins Aktenverzeichnis eingehalten.</w:t>
      </w:r>
    </w:p>
    <w:p>
      <w:r>
        <w:rPr>
          <w:b/>
        </w:rPr>
        <w:t>E. 6.3</w:t>
      </w:r>
    </w:p>
    <w:p>
      <w:r>
        <w:t>Der Beschwerdeführer macht ferner eine Verletzung seines Anspruchs auf Akteneinsicht dergestalt geltend, dass ihm die Einsicht in den als interne Notiz bezeichneten Dokumentenprüfungsbericht (Akte A15) verweigert worden sei. Die Gewährung des rechtlichen Gehörs genüge nicht, da er nicht beurteilen könne, ob er sich umfassend zu den angeblichen Fälschungsmerkmalen habe äussern können; zudem sei die Qualifikation der das Dokument prüfenden Person nicht ersichtlich. Das SEM wäre gehalten gewesen, den Prüfungsbericht zumindest unter Einschwärzung der sensiblen Stellen offenzulegen. Das SEM hat das Aktenstück A15 im Aktenverzeichnis mit dem Code A ("überwiegende öffentliche oder private Interessen an Geheimhaltung [Art. 27 VwVG]") bezeichnet. Wie bereits oben (E. 6.1) erwähnt, ist eine solche Einschränkung des Akteneinsichtsrechts grundsätzlich zulässig, muss aber nach Art. 27 VwVG konkret begründet sein und sich im Rahmen der Verhältnismässigkeitsprüfung auf das Erforderliche beschränken. Vorliegend fehlt eine solche konkrete Begründung im Aktenverzeichnis und im Begleitschreiben des SEM betreffend Akteneinsicht (Akte A23). Sie ist aber der Zwischenverfügung des SEM vom 23. Februar 2016 betreffend das rechtliche Gehör zum Prüfungsbericht zu entnehmen, wo auf öffentliche Geheimhaltungsgründe zur Verhinderung von Missbräuchen hingewiesen wird. Dies genügt an sich als Begründung. Hingegen ist die Verhältnismässigkeit der Einsichtsverweigerung offensichtlich nicht gegeben. Betrachtet man nämlich den im Rahmen der Gewährung des rechtlichen Gehörs offengelegten Inhalt des Prüfungsberichts mit dem tatsächlichen Inhalt, fällt auf, dass das SEM dem Beschwerdeführer nur eine von vier "constatations" und diese zudem nicht inhaltsgleich mit der tatsächlichen Feststellung des Fälschungsmerkmals zur Kenntnis bringt. Hinzu kommt als klare Missachtung des Verhältnismässigkeitsprinzips und des Anspruchs auf rechtliches Gehör, dass das SEM darauf verzichtet hat, die eigentliche "conclusion" der Dokumentenprüfung dem Beschwerdeführer mitzuteilen. Bei dem im Rahmen des rechtlichen Gehörs zur Kenntnis gebrachten Fälschungsmerkmal (...) handelt es sich nicht um den "contenu essentiel" des Prüfungsberichts. Es ist in Stützung des Hinweises in der Beschwerde vorliegend auch nicht ersichtlich, weshalb das SEM den Prüfungsbericht nicht unter Abdeckung sensibler Stellen hätte offenlegen können. In diesem Zusammenhang fällt übrigens auf, dass im N-Dossier insgesamt drei mit "A15" paginierte Aktenstücke vorhanden sind, nämlich ein Original, daneben eine Kopie mit manipulativ abgedeckten Stellen und schliesslich eine (in einem roten Sichtmäppli befindliche) Kopie des zuletzt erwähnten Exemplars. Diese Aktenführung ist nicht statthaft und geht in dieser eigentümlichen Form auch nicht aus dem Aktenverzeichnis hervor. Ob ein Kopieexemplar von A15 allenfalls für die Akteneinsicht hätte bestimmt sein sollen und dessen Herausgabe womöglich vergessen ging, ist nicht erkennbar. Unzweifelhaft ist aber nach dem Gesagten betreffend den Prüfungsbericht eine Verletzung des rechtlichen Gehörs in gleich mehrfacher Erscheinungsform festzustellen. Im Rahmen der Behebung der Mängel wird sich das SEM ferner mit der vom Beschwerdeführer aufgeworfenen Frage der Qualifikation der den Prüfungsbericht erstellenden Person zu befassen haben; diese Qualifikation ist auch für das Gericht aus den Akten nicht ersichtlich.</w:t>
      </w:r>
    </w:p>
    <w:p>
      <w:r>
        <w:rPr>
          <w:b/>
        </w:rPr>
        <w:t>E. 6.4</w:t>
      </w:r>
    </w:p>
    <w:p>
      <w:r>
        <w:t>Sodann habe das SEM mehrere wesentliche Vorbringen sachverhaltlich nicht erfasst, so unter anderem den konkreten Verweis auf die Anwesenheit zweier Brüder, deren Asylverfahrensakten das SEM im Hinblick auf das allfällige Vorliegen einer Reflexverfolgung hätte beiziehen müssen. Aus den vorinstanzlichen Akten ist nicht ersichtlich, ob das SEM für den vorliegenden Asylentscheid die Asylverfahrensakten der beiden Brüder des Beschwerdeführers tatsächlich beigezogen hat. Daneben stellt sich aber auch die Frage, ob ein solcher Beizug im konkreten Fall indiziert ist. Gründe hierfür werden in der Beschwerde keine angeführt. Das bloss rein hypothetisch denkbare Vorliegen von Reflexverfolgungsindizien reicht mit Bestimmtheit nicht, wogegen aber das konkrete Geltendmachen einer entsprechenden Reflexverfolgung, ferner die zuerkannte Flüchtlingseigenschaft von engen Verwandten, aber auch objektive Gründe Anlass für einen Aktenbeizug von Amtes wegen aufdrängen können. Diesfalls müsste der Beizug auch seinen Niederschlag im Asylentscheid respektive vorgängig im Rahmen der Gewährung des rechtlichen Gehörs finden, dies mittels Erwähnung des erfolgten Beizugs sowie der Mitteilung und Begründung des Beizugsergebnisses. Ob vorliegend eine mangelhafte Sachverhaltsfeststellung und eine Verletzung des Anspruchs auf rechtliches Gehör in Form eines zu Unrecht unterlassenen Aktenbeizuges vorliegt, kann angesichts des ohnehin unausweichlichen Kassationsausganges einstweilen dahingestellt bleiben. Das SEM wird sich jedoch in diesem Zusammenhang insbesondere an die in den Urteilen E-1417/2016 vom 6. Mai 2016 E. 6.2 f., E-8390/215 vom 15. März 2016 E. 6.3.3 und D-3242/2014 vom 3. Dezember 2014 E. 5 konkretisierten Leitplanken betreffend Aktenbeizüge zu halten haben. Auch mit der weiteren Beschwerdeargumentation und insbesondere der Rüge, das SEM habe mehrere Vorbringen sachverhaltlich nicht erfasst, wird sich das SEM im Rahmen des wiederaufzunehmenden erstinstanzlichen Verfahrens zu befassen haben. Der Beschwerdeführer ist immerhin darauf aufmerksam zu machen, dass die Dichte der Sachverhaltsfeststellung von der Frage der Entscheidrelevanz der einzelnen Sachverhaltselemente abhängig ist. Er unterlässt es aber weitgehend, die Bedeutsamkeit der einzelnen als unerfasst beanstandeten Sachverhaltselemente für die Entscheidfindung aufzuzeigen.</w:t>
      </w:r>
    </w:p>
    <w:p>
      <w:r>
        <w:rPr>
          <w:b/>
        </w:rPr>
        <w:t>E. 7</w:t>
      </w:r>
    </w:p>
    <w:p>
      <w:r>
        <w:t>Zusammenfassend ist festzustellen, dass die angefochtene Verfügung mehrere, zum Teil schwerwiegende und nicht heilbare Sachverhaltsfeststellungsfehler und Bundesrechtsverletzungen aufweist (Art. 106 Abs. 1 AsylG), die zur Aufhebung der angefochtenen Verfügung führen. Die Beschwerde ist insoweit gutzuheissen und die Sache ist an die Vorinstanz zurückzuweisen. Das SEM ist dabei gehalten, den Anspruch des Beschwerdeführers auf rechtliches Gehör zu wahren, den rechtserheblichen Sachverhalt vollständig und richtig abzuklären und zu erfassen und gestützt darauf sowie unter Mitberücksichtigung des Inhalts der vorliegenden Beschwerde einen neuen Entscheid zu fällen. Es ist, auch angesichts der nach Art. 106 Abs. 1 AsylG eingeschränkten Kognition, vorliegend nicht Sache des Bundesverwaltungsgerichts, die Mängel und Versäumnisse selber zu heilen und als letzte Instanz einen neuen, unter Umständen negativen Entscheid zu treffen, da der Instanzenverlust abermals eine Verletzung des Anspruchs auf rechtliches Gehörs bewirken würde (zur Frage der Heilbarkeit vgl. auch das Urteil des Bundesverwaltungsgerichts E-7452/2014 vom 13. Februar 2015 E. 6.5 mit weiteren Hinweisen).</w:t>
      </w:r>
    </w:p>
    <w:p>
      <w:r>
        <w:rPr>
          <w:b/>
        </w:rPr>
        <w:t>E. 8.1</w:t>
      </w:r>
    </w:p>
    <w:p>
      <w:r>
        <w:t>Bei diesem Ausgang des Verfahrens sind keine Kosten zu erheben (Art. 63 Abs. 1 und 2 VwVG). Das Gesuch um Verzicht auf die Erhebung von Verfahrenskosten nach Art. 65 Abs. 1 VwVG wird somit hinfällig.</w:t>
      </w:r>
    </w:p>
    <w:p>
      <w:r>
        <w:rPr>
          <w:b/>
        </w:rPr>
        <w:t>E. 8.2</w:t>
      </w:r>
    </w:p>
    <w:p>
      <w:r>
        <w:t>Dem vertretenen Beschwerdeführer ist angesichts seines Obsiegens im Kassationsantrag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1'700.-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