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E-2451/2019 vom 31. Mai 2019</w:t>
      </w:r>
    </w:p>
    <w:p>
      <w:r>
        <w:t>Bundesverwaltungsgericht, 2019-05-31, DE</w:t>
      </w:r>
    </w:p>
    <w:p>
      <w:r>
        <w:rPr>
          <w:b/>
        </w:rPr>
        <w:t xml:space="preserve">Quelle: </w:t>
      </w:r>
      <w:r>
        <w:t>https://mcp.opencaselaw.ch/entscheid/bvger_E-2451_2019</w:t>
      </w:r>
    </w:p>
    <w:p>
      <w:r>
        <w:t>FR: TAF E-2451/2019 du 31 mai 2019</w:t>
      </w:r>
    </w:p>
    <w:p>
      <w:r>
        <w:t>IT: TAF E-2451/2019 del 31 maggio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Da der Beschwerde von Gesetzes wegen aufschiebende Wirkung zukommt (Art. 55 Abs. 1 VwVG) und die Vorinstanz diese nicht entzogen hat, sind die Anträge, der Beschwerde sei die aufschiebende Wirkung zu erteilen und die Vollzugsbehörden seien anzuweisen, von einer Überstellung der Beschwerdeführenden nach Griechenland abzusehen, bis das Bundesverwaltungsgericht über den Suspensiveffekt der eingereichten Beschwerde entschieden habe, abzuweisen.</w:t>
      </w:r>
    </w:p>
    <w:p>
      <w:r>
        <w:rPr>
          <w:b/>
        </w:rPr>
        <w:t>E. 4.1</w:t>
      </w:r>
    </w:p>
    <w:p>
      <w:r>
        <w:t>Die Beschwerdeführenden rügen eine Verletzung des rechtlichen Gehörs. Die Vorinstanz habe die aus der Kinderrechtskonvention fliessenden Rechte ihres minderjährigen Sohnes nicht geprüft. Er sei nicht als Verfahrenssubjekt behandelt und ihm seien keine Parteirechte gewährt worden, was eine gravierende Rechtsverletzung darstelle. Die Vorinstanz sei ihrer Orientierungs- und Informationspflicht gemäss Art. 29 Abs. 2 BV und Strafprozessordnung gegenüber dem Sohn nicht nachgekommen. Dabei handelt es sich um eine formelle Rüge, welche vorab zu beurteilen ist,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Gemäss Art. 12 Abs. 1 des Übereinkommens über die Rechte der Kinder (KRK; SR 0.107)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schweizerischen Recht nicht.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(Urteil des BGer 2C_372/2008 vom 25. September 2008 E. 2). Dies gilt gemäss Rechtsprechung des Bundesgerichts in fremdenpolizeilichen Fällen generell, sofern es sich nicht um Sachverhalte wie zum Beispiel eine Scheidung handelt, wo die Interessen der Beteiligten nicht gleichläufig sind (Urteil des BGer 2P.117/2001 vom 26. Juli 2001 E. 3d).</w:t>
      </w:r>
    </w:p>
    <w:p>
      <w:r>
        <w:rPr>
          <w:b/>
        </w:rPr>
        <w:t>E. 4.3</w:t>
      </w:r>
    </w:p>
    <w:p>
      <w:r>
        <w:t>Der Standpunkt des minderjährigen Sohnes gelangte im vorinstanzlichen Verfahren durch die Ausführungen und die Stellungnahme zum Entscheidentwurf der Beschwerdeführenden und deren Rechtsvertreters sowie im Rahmen des vorliegenden Verfahrens durch die Ausführungen des Rechtsvertreters und die eingereichten Beweismittel genügend zum Ausdruck. Im Sinne der gemeinsamen Beschwerdeanträge verfolgen die Beschwerdeführenden und ihr Sohn dasselbe Ziel, nämlich das Eintreten auf ihre Asylgesuche. Des Weiteren wurde die Verfügung den Beschwerdeführenden und dem Rechtsvertreter ordnungsgemäss eröffnet. Die aus der KRK fliessenden Verfahrensrechte des Sohnes wurde somit gewahrt. Das Rechtsbegehren, die Sache aus formellen Gründen aufzuheben und zur Neubeurteilung an die Vorinstanz zurückzuweisen, ist demnach abzuweisen.</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Die Beschwerdeführenden haben sich vor ihrer Einreise in die Schweiz unbestrittenermassen in Griechenland aufgehalten. Griechenland ist ein verfolgungssicherer Drittstaat im Sinne von Art. 6a Abs. 2 Bst. b AsylG. Die Beschwerdeführenden können in diesen Drittstaat zurückkehren, zumal sie dort subsidiären Schutz erhalten haben und die griechischen Behörden ihrer Rückübernahme zugestimmt haben. Die Vorinstanz ist somit in Anwendung von Art. 31a Abs. 1 Bst. a AsylG zu Recht auf die Asylgesuche der Beschwerdeführenden nicht eingetreten.</w:t>
      </w:r>
    </w:p>
    <w:p>
      <w:r>
        <w:rPr>
          <w:b/>
        </w:rPr>
        <w:t>E. 6</w:t>
      </w:r>
    </w:p>
    <w:p>
      <w:r>
        <w:t>Gemäss Art. 44 AsylG verfügt das SEM in der Regel die Wegweisung aus der Schweiz und ordnet den Vollzug an, wenn es das Asylgesuch ablehnt oder nicht darauf eintritt; es berücksichtigt dabei den Grundsatz der Einheit der Familie. Die Beschwerdeführenden verfügen weder über eine ausländerrechtliche Aufenthaltsbewilligung noch über einen Anspruch auf Erteilung einer solchen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7.2.2</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w:t>
      </w:r>
    </w:p>
    <w:p>
      <w:r>
        <w:t>Die Beschwerdeführenden bringen vor, angesichts ihrer fortschreitenden Alterskrankheiten seien sie auf die Unterstützung ihrer bereits in der Schweiz vorläufig aufgenommenen Söhne angewiesen. Diese seien bereit und in der Lage, die familiäre Hilfeleistung zu erbringen. Die Interessen des minderjährigen Sohnes an einer diskriminierungsfreien Beschulung, am Familienleben und an einem entwicklungsförderlichen Lebensstandard würden für einen Verbleib in der Schweiz sprechen.</w:t>
      </w:r>
    </w:p>
    <w:p>
      <w:r>
        <w:rPr>
          <w:b/>
        </w:rPr>
        <w:t>E. 7.4.1</w:t>
      </w:r>
    </w:p>
    <w:p>
      <w:r>
        <w:t>Gemäss Art. 6a AsylG besteht zugunsten sicherer Drittstaaten - wie es Griechenland einer ist - die Vermutung, dass diese ihre völkerrechtlichen Verpflichtungen, darunter im Wesentlichen das Refoulement-Verbot und grundlegende menschenrechtliche Garantien, einhalten (vgl. FANNY MATTHEY, in: Code annoté de droit des migrations,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7.4.2</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Indes ist Griechenland ein sicherer Drittstaat, in dem keine Situation von allgemeiner Gewalt herrscht. Griechenland ist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ist ihnen möglich und zuzumuten, sich bei Unterstützungsbedarf an die griechischen Behörden zu wenden und die erforderliche Hilfe nötigenfalls auf dem Rechtsweg einzufordern.</w:t>
      </w:r>
    </w:p>
    <w:p>
      <w:r>
        <w:rPr>
          <w:b/>
        </w:rPr>
        <w:t>E. 7.4.3</w:t>
      </w:r>
    </w:p>
    <w:p>
      <w:r>
        <w:t>Die Vorinstanz stellt in der angefochtenen Verfügung zu Recht fest, dass der Begriff der Familie gemäss AsylG in personeller Hinsicht den Ehe- oder Konkubinatspartner und minderjährige Kinder umfasst (vgl. Art. 1a Bst. e der Asylverordnung 1 vom 11. August 1999 [AsylV 1, SR 142.311]). Gemäss bundesgerichtlicher Rechtsprechung setzt eine Beziehung, die über die schützenswerte verwandtschaftliche Beziehung der eigentlichen Kernfamilie hinausgeht, das Vorliegen besonderer Umstände voraus, die ein Verhältnis von Hilfsbedürftigkeit und Abhängigkeit bewirken würden (BGE 115 Ib E. 2c). In Übereinstimmung damit hält das Bundeverwaltungsgericht fest, unter den Schutz der Einheit der Familie (Art. 8 EMRK) würden auch über die Kernfamilie hinausgehende verwandtschaftliche Bande fallen, sofern eine nahe, echte und tatsächlich gelebte Beziehung bestehe und ein darüber hinausgehendes besonderes Abhängigkeitsverhältnis gegeben sei (BVGE 2008/47 E. 4.1). Die in der Schweiz wohnhaften volljährigen Söhne gehören nicht zur Kernfamilie der Beschwerdeführenden. Alleine aus dem Umstand, dass die Söhne gegenüber den Beschwerdeführenden familiäre Hilfeleistungen erbringen könnten, ergibt sich kein besonderes, durch Art. 8 EMRK geschütztes Abhängigkeitsverhältnis. Zudem haben der mit den Beschwerdeführenden in die Schweiz eingereiste volljährige Sohn und dessen Ehefrau auch subsidiären Schutz in Griechenland erhalten, weshalb die Vorinstanz auf ihre Asylgesuche ebenfalls nicht eingetreten ist und die Wegweisung sowie deren Vollzug nach Griechenland angeordnet hat. Eine dagegen erhobene Beschwerde wurde vom Bundesverwaltungsgericht mit Urteil E-2448/2019 vom 31. Mai 2019 abgewiesen. Die Vollzugsbehörden sind gehalten, den Vollzug der Wegweisung der Beschwerdeführenden, des volljährigen Sohnes und dessen Ehefrau nach Möglichkeit gemeinsam durchzuführen, um eine Trennung zu vermeiden.</w:t>
      </w:r>
    </w:p>
    <w:p>
      <w:r>
        <w:rPr>
          <w:b/>
        </w:rPr>
        <w:t>E. 7.4.4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klarerweise nicht gegeben, da die in den Arztberichten dokumentierten gesundheitlichen Probleme der Beschwerdeführenden offensichtlich nicht von derartiger Schwere sind.</w:t>
      </w:r>
    </w:p>
    <w:p>
      <w:r>
        <w:rPr>
          <w:b/>
        </w:rPr>
        <w:t>E. 7.4.5</w:t>
      </w:r>
    </w:p>
    <w:p>
      <w:r>
        <w:t>Schliesslich spricht auch das Kindeswohl nicht gegen einen Wegweisungsvollzug. Es liegen keine erhärteten Hinweise vor, wonach sich Griechenland als Signatarstaat der KRK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der Vorinstanz bestätigt (vgl. Urteile des BVGerD-367/2019 vom 2. Mai 2019, D-992/2019 vom 17. April 2019,E-1374/2019 vom 1. April 2019, D-1101/2019 vom 19. März 2019).</w:t>
      </w:r>
    </w:p>
    <w:p>
      <w:r>
        <w:rPr>
          <w:b/>
        </w:rPr>
        <w:t>E. 7.5</w:t>
      </w:r>
    </w:p>
    <w:p>
      <w:r>
        <w:t>Insgesamt ist es den Beschwerdeführenden nicht gelungen, die Vermutung umzustossen, wonach Griechenland seinen völkerrechtlichen Verpflichtungen nachkommt und ein Wegweisungsvollzug in diesen EU-Mitgliedstaat auch zumutbar ist.</w:t>
      </w:r>
    </w:p>
    <w:p>
      <w:r>
        <w:rPr>
          <w:b/>
        </w:rPr>
        <w:t>E. 7.6</w:t>
      </w:r>
    </w:p>
    <w:p>
      <w:r>
        <w:t>Nachdem die griechischen Behörden einer Rückübernahme der Beschwerdeführenden ausdrücklich zugestimmt haben, ist der Vollzug der Wegweisung auch möglich (Art. 83 Abs. 2 AIG).</w:t>
      </w:r>
    </w:p>
    <w:p>
      <w:r>
        <w:rPr>
          <w:b/>
        </w:rPr>
        <w:t>E. 7.7</w:t>
      </w:r>
    </w:p>
    <w:p>
      <w:r>
        <w:t>Zusammenfassend ist festzustellen, dass der Wegweisungsvollzug als zulässig, zumutbar und möglich zu erkennen ist, womit die Anordnung einer vorläufigen Aufnahme ausser Betracht fällt (Art. 83 Abs. 1-4 AIG).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