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E-2449/2020 vom 2. Juni 2020</w:t>
      </w:r>
    </w:p>
    <w:p>
      <w:r>
        <w:t>Bundesverwaltungsgericht, 2020-06-02, DE</w:t>
      </w:r>
    </w:p>
    <w:p>
      <w:r>
        <w:rPr>
          <w:b/>
        </w:rPr>
        <w:t xml:space="preserve">Quelle: </w:t>
      </w:r>
      <w:r>
        <w:t>https://mcp.opencaselaw.ch/entscheid/bvger_E-2449_2020</w:t>
      </w:r>
    </w:p>
    <w:p>
      <w:r>
        <w:t>FR: TAF E-2449/2020 du 2 juin 2020</w:t>
      </w:r>
    </w:p>
    <w:p>
      <w:r>
        <w:t>IT: TAF E-2449/2020 del 2 giugno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zunächst zum Schluss, die Vorbringen der Beschwerdeführerin im Zusammenhang mit dem politischen Engagement seien unglaubhaft. Sie habe hierzu widersprüchliche, unlogische sowie unsubstantiierte Aussagen gemacht. Den Ablauf der Probleme habe sie widersprüchlich geschildert. Sie habe einerseits ausgeführt, zwei Beamte des CID hätten ihrer Schwester die Vorladung gegeben. Andererseits habe sie gesagt, ihre Schwester vermute, Mitglieder der EPDP, die mit dem Militär zusammenarbeiteten, hätten das Dokument überreicht. Es sei nicht nachvollziehbar, weshalb die Polizei die Vorladung ihrer Schwester und nicht ihr persönlich gegeben habe und weder der Grund sowie der Ort der Befragung darin festgehalten gewesen seien. Weiter sei nicht erklärlich, weshalb sie Sri Lanka verlassen habe, ohne dem Grund für die Vorladung sowie die Suche von unbekannten Personen nachgegangen zu sein. Sodann sei fraglich, weshalb sich die Behörden oder Dritte im Herbst 2016 für die politischen Aktivitäten der Beschwerdeführerin im Jahr 2015 interessierten sollten, zumal die TNA eine legale Partei sei und sie als (...) bei einem staatlichen (...) gearbeitet habe. Die einmalige Teilnahme an einer protamilischen Kundgebung im Herbst 2016 sei keine Erklärung für ein behördliches Interesse. Der Hinweis, dieses sei auf die Ereignisse im Jahr 2007 zurückzuführen, sei ebenfalls nicht stichhaltig.</w:t>
      </w:r>
    </w:p>
    <w:p>
      <w:r>
        <w:rPr>
          <w:b/>
        </w:rPr>
        <w:t>E. 6.2</w:t>
      </w:r>
    </w:p>
    <w:p>
      <w:r>
        <w:t>Weiter hält die Vorinstanz fest, die Vorkommnisse zwischen 2007 und 2011 sowie die Essensabgabe an Angehörige der LTTE im Jahr 2007 seien nicht geeignet, eine asylrelevante Verfolgung zu begründen. Die Behelligungen durch die Armee sowie der Angriff mit der (...) seien vor dem Hintergrund des Bürgerkrieges zu betrachten. Die Lage in Sri Lanka habe sich seit dessen Ende mit der Niederlage der LTTE im Jahr 2009 verändert. Die Sicherheits- und Menschenrechtslage habe sich verbessert. Behelligungen, wie sie die Beschwerdeführerin und ihre Familie während des Bürgerkrieges erlebt hätten, gäbe es zum heutigen Zeitpunkt nicht mehr. Zudem würden Übergriffe von Drittpersonen von den sri-lankischen Behörden geahndet. Bei allfälligen künftigen Schwierigkeiten mit Drittpersonen könne sich die Beschwerdeführerin an die sri-lankischen Behörden wenden. Die Essensabgabe für die Mitglieder der LTTE durch tamilische Personen sei im Jahr 2007 üblich gewesen. Dieses Engagement erzeuge kein politisches Profil, welches das Interesse der sri-lankischen Behörden erwecke und zu asylrelevanten Massnahmen führe, zumal die Behörden bis zur Ausreise im Jahr 2016 ausreichend Gelegenheit gehabt hätten, die Beschwerdeführerin deshalb zu konfrontieren. Hinsichtlich der Nachfrage im Jahr 2011 betreffend ein (...) sei nach entsprechender Verneinung durch die Beschwerdeführerin nichts mehr vorgefallen. Diese Schlussfolgerung werde auch dadurch gestützt, dass das Asylgesuch der Schwester aus dem Ausland (N [...]) mit Urteil des Bundesverwaltungsgerichts E-1849/2011 vom 30. März 2011 rechtskräftig entschieden und die familiären Probleme von 2007 bis Dezember 2010 für nicht asylrelevant befunden wurden. Die Schwester arbeite denn auch zum heutigen Zeitpunkt als (...) beim Staat. An der Einschätzung, die Ereignisse zwischen 2007 und 2011 seien nicht asylrelevant, änderten die Asylgesuche der beiden Geschwister (N [...] und N [...]) nichts. Es sei zwar nicht auszuschliessen, dass die Beschwerdeführerin bei einer Rückkehr auf ihre Geschwister angesprochen werde. Entsprechende Nachfragen seitens der Behörden seien aber üblich und mangels Intensität nicht als asylrelevante Nachteile einzustufen.</w:t>
      </w:r>
    </w:p>
    <w:p>
      <w:r>
        <w:rPr>
          <w:b/>
        </w:rPr>
        <w:t>E. 6.3</w:t>
      </w:r>
    </w:p>
    <w:p>
      <w:r>
        <w:t>Darüber hinaus bestehe kein begründeter Anlass zur Annahme, die Beschwerdeführerin sei bei einer Rückkehr nach Sri Lanka mit beachtlicher Wahrscheinlichkeit und in absehbarer Zukunft asylrelevanten Verfolgungsmassnahmen ausgesetzt. Es gelte zu prüfen, ob sie im Falle der Rückkehr begründete Furcht vor künftigen Verfolgungsmassnahmen im Sinne von Art. 3 AsylG habe. Diese Prüfung sei gemäss dem Referenzurteil des Bundesverwaltungsgerichts E-1866/2015 vom 15. Juli 2016 anhand von Risikofaktoren vorzunehmen. Die Beschwerdeführerin habe nicht glaubhaft gemacht, vor der Ausreise asylrelevanten Massnahmen ausgesetzt gewesen zu sein. Vielmehr sei sie bis (...) 2016 in Sri Lanka wohnhaft gewesen, mithin seit Kriegsende noch rund sieben Jahre. Allfällige, im Zeitpunkt der Ausreise bestehende Risikofaktoren hätten folglich kein Verfolgungsinteresse der sri-lankischen Behörden auszulösen vermocht. Aufgrund der Aktenlage sei nicht ersichtlich, weshalb sie bei einer Rückkehr in Sri Lanka in asylrelevanter Weise verfolgt werden sollte. Diese Feststellung gelte auch unter Berücksichtigung der drei Geschwister, welche bei den Schweizer Behörden ein Asylgesuch eingereicht gehabt hätten.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w:t>
      </w:r>
    </w:p>
    <w:p>
      <w:r>
        <w:rPr>
          <w:b/>
        </w:rPr>
        <w:t>E. 6.4</w:t>
      </w:r>
    </w:p>
    <w:p>
      <w:r>
        <w:t>Auch die am 16. November 2019 erfolgte Präsidentschaftswahl mit dem Sieg von Gotabaya Rajapakse könne diese Einschätzung nicht umstossen. Dieser sei der Bruder von Mahinda Rajapaksa, welcher von 2005 bis 2015 Präsident von Sri Lanka gewesen sei. Unter ihm sei Gotabaya Rajapaksa Sekretär im Verteidigungsministerium und faktisch für die Kriegsführung im Bürgerkrieg gegen die LTTE verantwortlich gewesen. Gotabaya Rajapaksa würden Kriegsverbrechen vorgeworfen. Fünf Tage nach der Wahl zum Präsidenten habe dieser seinen Bruder Mahinda Rajapaksa interimistisch zum Premierminister ernannt. Am 19. August 2019 sei bereits General Shavendra Silva, welchem ebenfalls Kriegsverbrechen angelastet würden, zum Armeechef ernannt worden. Mit der Wahl von Gotabaya Rajapaksa zum Präsidenten sowie ersten Anzeichen zunehmender Überwachungsaktivitäten gingen Befürchtungen von mehr Repression und Überwachung von Menschenrechtsaktivisten, Journalisten, Oppositionellen, Regierungskritikern und Minderheiten einher. Dennoch bestehe aktuell kein Anlass zur Annahme, ganze Volksgruppen seien kollektiv einer Verfolgungsgefahr ausgesetzt. Es gebe keine Berichte über asylrelevante Verfolgungsmassnahmen gegenüber den genannten Personengruppen nach den Wahlen. Tamilische Medien meldeten sodann keine grossen Veränderungen der Situation im Norden und Osten Sri Lankas.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7.1</w:t>
      </w:r>
    </w:p>
    <w:p>
      <w:r>
        <w:t>Die Beschwerdeführerin rügt in der Rechtsmitteleingabe, die Vorinstanz habe zu Unrecht ihre Vorbringen als unglaubhaft beurteilt und das Vorliegen der Flüchtlingseigenschaft verneint, mithin Art. 7 AsylG sowie Art. 3 AsylG verletzt.</w:t>
      </w:r>
    </w:p>
    <w:p>
      <w:r>
        <w:rPr>
          <w:b/>
        </w:rPr>
        <w:t>E. 7.2</w:t>
      </w:r>
    </w:p>
    <w:p>
      <w:r>
        <w:t>Die Beschwerdeführerin weist in der Rechtsmitteleingabe darauf hin, dass die angefochtene Verfügung nicht von derselben Person getroffen worden sei, welche die Anhörung durchgeführt habe. Es ist durchaus wünschenswert, dass die Anhörung von derselben Person durchgeführt wird, die über das Asylgesuch (mit-)befindet, zumal der persönliche Eindruck einer Person für die Beurteilung der Glaubhaftigkeit ihrer Asylvorbringen von Belang sein kann. Es existiert jedoch keine gesetzliche Verpflichtung der Vorinstanz, dies immer so zu handhaben; eine solche Verpflichtung ergibt sich auch aus dem Anspruch auf rechtliches Gehör nicht (vgl. Urteil des BVGer E-281/2020 vom 26. Februar 2020 m.H.). Überdies ist nicht ersichtlich und wird von der Beschwerdeführerin auch nicht substantiiert dargelegt, inwiefern ihr daraus ein konkreter Nachteil entstanden sein soll.</w:t>
      </w:r>
    </w:p>
    <w:p>
      <w:r>
        <w:rPr>
          <w:b/>
        </w:rPr>
        <w:t>E. 7.3</w:t>
      </w:r>
    </w:p>
    <w:p>
      <w:r>
        <w:t>Es ist nicht auszuschliessen, dass die Beschwerdeführerin in Anbetracht ihres familiären Hintergrunds beim Erhalt einer polizeilichen Vorladung einen bedrohlichen Hintergrund vermutet. Die vorinstanzlichen Erwägungen in Bezug auf das Glaubhaftmachen der Ausreisegründe sind allerdings nicht zu beanstanden. Die Vorinstanz hat ausführlich dargelegt, aus welchen Gründen die Vorbringen widersprüchlich, unsubstantiiert, stereotyp sowie nicht nachvollziehbar sind. Mit dem Argument, entgegen der vorinstanzlichen Ansicht habe sie sich nicht widersprüchlich zu ihren Tätigkeiten für die TNA geäussert, sondern ihre Angaben vielmehr ergänzt, vermag die Beschwerdeführerin die unterschiedlichen Darlegungen nicht zu erklären. Auf die ausdrückliche Frage anlässlich der BzP, was sie für Tätigkeiten für die TNA gemacht habe, erwähnte sie nichts von der Unterstützung zweier Politiker (vgl. SEM-Akte A9/13 Ziff. 7.01 S. 8). Zudem setzt sie sich nicht differenziert mit der vorinstanzlichen Schlussfolgerung auseinander, die Schilderungen zu den Aktivitäten für die TNA seien nicht detailliert gewesen, sondern wiederholt lediglich in oberflächlicher Weise, sie habe Flugblätter verteilt, Plakate aufgehängt, Propaganda betrieben und an Veranstaltungen teilgenommen. Die abweichenden Äusserungen zu den Personen, welche die Vorladung ihrer Schwester übergeben haben wollen, kann sie in der Beschwerde mit dem Vorbringen, das CID sowie die EPDP arbeiteten zusammen, nicht rechtfertigen. Die Aussagen an der BzP und der Anhörung, bei besagten Personen habe es sich um Angehörige des CID respektive vermutungsweise um Mitglieder der EPDP gehandelt, stehen in klarem Widerspruch zueinander (vgl. a.a.O. Ziff. 7.01 sowie A23/17 F106). Auch die von der Vorinstanz angeführten Zweifel betreffend die Vorladung und deren Erhalt räumt die Beschwerdeführerin mit der blossen Aussage, sie wisse nicht, weshalb das Dokument auf Singhalesisch verfasst gewesen sei und keine Informationen zur Polizeistation enthalten habe, nicht aus. Der Beschwerdeführerin gelingt es mit ihren Ausführungen in der Beschwerde nicht, den vorinstanzlichen Erwägungen betreffend die Glaubhaftigkeit etwas Stichhaltiges entgegenzuhalten. Um Wiederholungen zu vermeiden, kann weitergehend auf die zutreffenden Erwägungen in der angefochtenen Verfügung verwiesen werden.</w:t>
      </w:r>
    </w:p>
    <w:p>
      <w:r>
        <w:rPr>
          <w:b/>
        </w:rPr>
        <w:t>E. 7.4</w:t>
      </w:r>
    </w:p>
    <w:p>
      <w:r>
        <w:t>In Bezug auf Art. 3 AsylG ist vor dem Hintergrund der vorstehenden Darlegungen nicht von einem Risikoprofil der Beschwerdeführerin im Sinne des Referenzurteils des Bundesverwaltungsgerichts E-1866/2015 vom 15. Juli 2016 auszugehen. Betreffend die Entwicklungen der allgemeinen politischen Lage in Sri Lanka ist festzustellen, dass nicht erkennbar ist, wie sich diese zum heutigen Zeitpunkt auf die Beschwerdeführerin auswirken könnten. Diesbezüglich kann wiederum, um Wiederholungen zu vermeiden, auf die zutreffenden vorinstanzlichen Erwägungen verwiesen werden. An dieser Einschätzung ändert die erfolgte Entführung und Verhaftung einer sri-lankischen Mitarbeiterin der Schweizerischen Botschaft in Colombo nichts, da diesbezüglich kein individueller Bezug zur Beschwerdeführerin ersichtlich ist. Gemäss Auskunft der Schweizerischen Botschaft sind in diesem Zusammenhang keine Informationen an die sri-lankischen Behörden gelangt, so dass keine Anhaltspunkte auf eine erhöhte Gefährdungssituation vorliegen.</w:t>
      </w:r>
    </w:p>
    <w:p>
      <w:r>
        <w:rPr>
          <w:b/>
        </w:rPr>
        <w:t>E. 7.5</w:t>
      </w:r>
    </w:p>
    <w:p>
      <w:r>
        <w:t>Zusammenfassend ist es der Beschwerdeführerin nicht gelungen, eine Bundesrechtsverletzung durch die Vorinstanz darzutun. Die Vorinstanz hat die Flüchtlingseigenschaft zu Recht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Daran vermögen der Regierungswechsel vom November 2019 sowie die seither veränderte Lage in Sri Lanka nichts zu ändern. Der Wegweisungsvollzug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9.4.2</w:t>
      </w:r>
    </w:p>
    <w:p>
      <w:r>
        <w:t>Vorliegend sprechen auch keine individuellen Gründe gegen die Zumutbarkeit des Wegweisungsvollzugs. Die Beschwerdeführerin stammt aus der Nordprovinz, wohin der Vollzug gemäss vorstehender Rechtsprechung grundsätzlich zumutbar ist. Mit ihren Eltern und Schwestern verfügt sie an ihrem Herkunftsort B._______ über ein bestehendes familiäres Beziehungsnetz (vgl. SEM-Akte A23/17 F12 sowie A9/13 Ziff. 3.02). Sodann hat sie das A-Level abgeschlossen und arbeitete vor der Ausreise mehrere Jahre als (...) (vgl. SEM-Akte A23/17 F29 ff. sowie A9/13 Ziff. 1.17.04 f.), mithin ist davon auszugehen, dass sie sich wirtschaftlich wieder einzugliedern vermag. Gesundheitliche Probleme sind keine aktenkundig (vgl. SEM-Akte A9/13 Ziff. 8.02). Soweit sie in unsubstantiierter Weise geltend macht, angesichts der Covid-19-Pandemie sei von einer medizinischen Notlage auszugehen, ist festzustellen, dass die lediglich theoretische Möglichkeit, sich mit diesem Virus zu infizieren, ohne den Verlauf der Krankheit absehen zu können, offensichtlich nicht geeignet ist, eine solche Notlage zu begründen, zumal in Sri Lanka medizinische Versorgung zugänglich ist. Es ist somit nicht davon auszugehen, dass die Beschwerdeführerin bei einer Rückkehr nach Sri Lanka in eine existentielle Notlage geraten wird. Der Vollzug der Wegweisung ist zumutbar.</w:t>
      </w:r>
    </w:p>
    <w:p>
      <w:r>
        <w:rPr>
          <w:b/>
        </w:rPr>
        <w:t>E. 9.5</w:t>
      </w:r>
    </w:p>
    <w:p>
      <w:r>
        <w:t>Ferner obliegt es der Beschwerdeführerin, sich bei der zuständigen Vertretung des Heimatstaates die für eine Rückkehr notwendigen Reisedokumente zu beschaffen (vgl. Art. 8 Abs. 4 AsylG und dazu auch BVGE 2008/34 E. 12). Der Vollzug der Wegweisung ist auch als möglich zu bezeichnen (Art. 83 Abs. 2 AIG).</w:t>
      </w:r>
    </w:p>
    <w:p>
      <w:r>
        <w:rPr>
          <w:b/>
        </w:rPr>
        <w:t>E. 9.6</w:t>
      </w:r>
    </w:p>
    <w:p>
      <w:r>
        <w:t>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sowie das Urteil des BVGer D-4796/2019 vom 27. April 2020 E. 8.9 m.w.H.).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Beschwerdeführerin beantragt die Gewährung der unentgeltlichen Rechtspflege gemäss Art. 65 Abs. 1 VwVG und unentgeltlichen Verbeiständung gemäss aArt. 110a Abs. 1 AsylG. Aufgrund der vorstehenden Erwägungen ergibt sich, dass ihre Begehren als aussichtslos zu gelten haben. Damit ist eine der kumulativ zu erfüllenden Voraussetzungen nicht gegeben, weshalb die Gesuche abzuweisen sind.</w:t>
      </w:r>
    </w:p>
    <w:p>
      <w:r>
        <w:rPr>
          <w:b/>
        </w:rPr>
        <w:t>E. 11.2</w:t>
      </w:r>
    </w:p>
    <w:p>
      <w:r>
        <w:t>Bei diesem Ausgang des Verfahrens hat die Beschwerdeführerin die Kosten des vorliegenden Verfahrens zu tragen (Art. 63 Abs. 1 VwVG), die auf Fr. 750.- festzusetzen sind (Art. 1-3 des Reglements vom 21. Februar 2008 über die Kosten und Entschädigungen vor dem Bundesverwaltungs-gericht [VGKE, SR 173.320.2]).</w:t>
      </w:r>
    </w:p>
    <w:p>
      <w:r>
        <w:rPr>
          <w:b/>
        </w:rPr>
        <w:t>E. 12</w:t>
      </w:r>
    </w:p>
    <w:p>
      <w:r>
        <w:t>Mit dem vorliegenden Urteil sind die Anträge auf Verzicht auf die Erhebung eines Kostenvorschusses sowie Feststellung der aufschiebenden Wirkung der Beschwerde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